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3" w:beforeLines="50" w:after="489" w:afterLines="150" w:line="480" w:lineRule="auto"/>
        <w:ind w:firstLine="0" w:firstLineChars="0"/>
        <w:jc w:val="center"/>
        <w:rPr>
          <w:rFonts w:hint="eastAsia" w:ascii="宋体" w:hAnsi="宋体" w:eastAsia="宋体" w:cs="宋体"/>
          <w:b/>
          <w:bCs/>
          <w:sz w:val="44"/>
          <w:szCs w:val="44"/>
        </w:rPr>
      </w:pPr>
      <w:r>
        <w:rPr>
          <w:rFonts w:hint="eastAsia" w:cs="宋体"/>
          <w:b/>
          <w:bCs/>
          <w:sz w:val="44"/>
          <w:szCs w:val="44"/>
          <w:lang w:val="en-US" w:eastAsia="zh-CN"/>
        </w:rPr>
        <w:t>交通</w:t>
      </w:r>
      <w:r>
        <w:rPr>
          <w:rFonts w:hint="eastAsia" w:ascii="宋体" w:hAnsi="宋体" w:cs="宋体"/>
          <w:b/>
          <w:bCs/>
          <w:sz w:val="44"/>
          <w:szCs w:val="44"/>
          <w:lang w:val="en-US" w:eastAsia="zh-CN"/>
        </w:rPr>
        <w:t>工程施工图</w:t>
      </w:r>
      <w:r>
        <w:rPr>
          <w:rFonts w:hint="eastAsia" w:ascii="宋体" w:hAnsi="宋体" w:eastAsia="宋体" w:cs="宋体"/>
          <w:b/>
          <w:bCs/>
          <w:sz w:val="44"/>
          <w:szCs w:val="44"/>
        </w:rPr>
        <w:t>设计说明</w:t>
      </w:r>
    </w:p>
    <w:p>
      <w:pPr>
        <w:ind w:firstLine="199" w:firstLineChars="83"/>
        <w:rPr>
          <w:rFonts w:hint="eastAsia" w:ascii="宋体" w:hAnsi="宋体" w:eastAsia="宋体" w:cs="宋体"/>
        </w:rPr>
        <w:sectPr>
          <w:headerReference r:id="rId7" w:type="first"/>
          <w:footerReference r:id="rId10" w:type="first"/>
          <w:headerReference r:id="rId5" w:type="default"/>
          <w:footerReference r:id="rId8" w:type="default"/>
          <w:headerReference r:id="rId6" w:type="even"/>
          <w:footerReference r:id="rId9" w:type="even"/>
          <w:type w:val="continuous"/>
          <w:pgSz w:w="23820" w:h="16834" w:orient="landscape"/>
          <w:pgMar w:top="850" w:right="1134" w:bottom="1021" w:left="1701" w:header="851" w:footer="850" w:gutter="851"/>
          <w:cols w:space="1418" w:num="1"/>
          <w:docGrid w:type="lines" w:linePitch="326" w:charSpace="0"/>
        </w:sectPr>
      </w:pPr>
    </w:p>
    <w:p>
      <w:pPr>
        <w:pStyle w:val="2"/>
        <w:bidi w:val="0"/>
        <w:ind w:left="432" w:leftChars="0" w:hanging="432" w:firstLineChars="0"/>
        <w:rPr>
          <w:rFonts w:hint="eastAsia"/>
        </w:rPr>
      </w:pPr>
      <w:r>
        <w:rPr>
          <w:rFonts w:hint="eastAsia"/>
          <w:lang w:val="en-US" w:eastAsia="zh-CN"/>
        </w:rPr>
        <w:t>初步设计批复等依据文件</w:t>
      </w:r>
    </w:p>
    <w:p>
      <w:pPr>
        <w:rPr>
          <w:rFonts w:hint="eastAsia"/>
        </w:rPr>
      </w:pPr>
      <w:r>
        <w:rPr>
          <w:rFonts w:hint="eastAsia"/>
        </w:rPr>
        <w:t>暂无初步设计批复。</w:t>
      </w:r>
    </w:p>
    <w:p>
      <w:pPr>
        <w:pStyle w:val="2"/>
        <w:bidi w:val="0"/>
        <w:ind w:left="432" w:leftChars="0" w:hanging="432" w:firstLineChars="0"/>
        <w:rPr>
          <w:rFonts w:hint="eastAsia"/>
          <w:lang w:val="en-US" w:eastAsia="zh-CN"/>
        </w:rPr>
      </w:pPr>
      <w:r>
        <w:rPr>
          <w:rFonts w:hint="eastAsia"/>
          <w:lang w:val="en-US" w:eastAsia="zh-CN"/>
        </w:rPr>
        <w:t>执行初步设计批复情况</w:t>
      </w:r>
    </w:p>
    <w:p>
      <w:pPr>
        <w:rPr>
          <w:rFonts w:hint="eastAsia"/>
        </w:rPr>
      </w:pPr>
      <w:r>
        <w:rPr>
          <w:rFonts w:hint="eastAsia"/>
        </w:rPr>
        <w:t>暂无初步设计批复。</w:t>
      </w:r>
    </w:p>
    <w:p>
      <w:pPr>
        <w:pStyle w:val="2"/>
        <w:bidi w:val="0"/>
        <w:ind w:left="432" w:leftChars="0" w:hanging="432" w:firstLineChars="0"/>
        <w:rPr>
          <w:rFonts w:hint="eastAsia"/>
          <w:lang w:val="en-US" w:eastAsia="zh-CN"/>
        </w:rPr>
      </w:pPr>
      <w:r>
        <w:rPr>
          <w:rFonts w:hint="eastAsia"/>
          <w:lang w:val="en-US" w:eastAsia="zh-CN"/>
        </w:rPr>
        <w:t>采用的主要设计及施工规范、规程和工程验收标准</w:t>
      </w:r>
    </w:p>
    <w:p>
      <w:pPr>
        <w:rPr>
          <w:rFonts w:hint="eastAsia" w:ascii="宋体" w:hAnsi="宋体" w:eastAsia="宋体" w:cs="宋体"/>
          <w:szCs w:val="22"/>
        </w:rPr>
      </w:pPr>
      <w:r>
        <w:rPr>
          <w:rFonts w:hint="eastAsia" w:ascii="宋体" w:hAnsi="宋体" w:eastAsia="宋体" w:cs="宋体"/>
          <w:szCs w:val="22"/>
        </w:rPr>
        <w:t>(1)《城市道路工程设计规范》（CJJ 37-2012）2016年版；</w:t>
      </w:r>
    </w:p>
    <w:p>
      <w:pPr>
        <w:rPr>
          <w:rFonts w:hint="eastAsia" w:ascii="宋体" w:hAnsi="宋体" w:eastAsia="宋体" w:cs="宋体"/>
          <w:szCs w:val="22"/>
        </w:rPr>
      </w:pPr>
      <w:r>
        <w:rPr>
          <w:rFonts w:hint="eastAsia" w:ascii="宋体" w:hAnsi="宋体" w:eastAsia="宋体" w:cs="宋体"/>
          <w:szCs w:val="22"/>
        </w:rPr>
        <w:t>(2)《城市道路交通标志和标线设置规范》（GB50138-2015）；</w:t>
      </w:r>
    </w:p>
    <w:p>
      <w:pPr>
        <w:rPr>
          <w:rFonts w:hint="eastAsia" w:ascii="宋体" w:hAnsi="宋体" w:eastAsia="宋体" w:cs="宋体"/>
          <w:szCs w:val="22"/>
        </w:rPr>
      </w:pPr>
      <w:r>
        <w:rPr>
          <w:rFonts w:hint="eastAsia" w:ascii="宋体" w:hAnsi="宋体" w:eastAsia="宋体" w:cs="宋体"/>
          <w:szCs w:val="22"/>
        </w:rPr>
        <w:t>(3)《城市道路路线设计规范》（CJJ 193-2012）；</w:t>
      </w:r>
    </w:p>
    <w:p>
      <w:pPr>
        <w:rPr>
          <w:rFonts w:hint="eastAsia" w:ascii="宋体" w:hAnsi="宋体" w:eastAsia="宋体" w:cs="宋体"/>
          <w:szCs w:val="22"/>
        </w:rPr>
      </w:pPr>
      <w:r>
        <w:rPr>
          <w:rFonts w:hint="eastAsia" w:ascii="宋体" w:hAnsi="宋体" w:eastAsia="宋体" w:cs="宋体"/>
          <w:szCs w:val="22"/>
        </w:rPr>
        <w:t>(4)《城市道路交叉口设计规程》（CJJ152-2010）；</w:t>
      </w:r>
    </w:p>
    <w:p>
      <w:pPr>
        <w:rPr>
          <w:rFonts w:hint="eastAsia" w:ascii="宋体" w:hAnsi="宋体" w:eastAsia="宋体" w:cs="宋体"/>
          <w:szCs w:val="22"/>
        </w:rPr>
      </w:pPr>
      <w:r>
        <w:rPr>
          <w:rFonts w:hint="eastAsia" w:ascii="宋体" w:hAnsi="宋体" w:eastAsia="宋体" w:cs="宋体"/>
          <w:szCs w:val="22"/>
        </w:rPr>
        <w:t>(5)《城市道路交叉口规划规范》（GB50647-2011）；</w:t>
      </w:r>
    </w:p>
    <w:p>
      <w:pPr>
        <w:rPr>
          <w:rFonts w:hint="eastAsia" w:ascii="宋体" w:hAnsi="宋体" w:eastAsia="宋体" w:cs="宋体"/>
          <w:szCs w:val="22"/>
        </w:rPr>
      </w:pPr>
      <w:r>
        <w:rPr>
          <w:rFonts w:hint="eastAsia" w:ascii="宋体" w:hAnsi="宋体" w:eastAsia="宋体" w:cs="宋体"/>
          <w:szCs w:val="22"/>
        </w:rPr>
        <w:t>(6)《城市道路交通设施设计规范》（GB 50688-2011）</w:t>
      </w:r>
    </w:p>
    <w:p>
      <w:pPr>
        <w:rPr>
          <w:rFonts w:hint="eastAsia" w:ascii="宋体" w:hAnsi="宋体" w:eastAsia="宋体" w:cs="宋体"/>
          <w:szCs w:val="22"/>
        </w:rPr>
      </w:pPr>
      <w:r>
        <w:rPr>
          <w:rFonts w:hint="eastAsia" w:ascii="宋体" w:hAnsi="宋体" w:eastAsia="宋体" w:cs="宋体"/>
          <w:szCs w:val="22"/>
        </w:rPr>
        <w:t>(7)《道路交通标志和标线》（GB 5768-2009）；</w:t>
      </w:r>
    </w:p>
    <w:p>
      <w:pPr>
        <w:rPr>
          <w:rFonts w:hint="eastAsia" w:ascii="宋体" w:hAnsi="宋体" w:eastAsia="宋体" w:cs="宋体"/>
          <w:szCs w:val="22"/>
        </w:rPr>
      </w:pPr>
      <w:r>
        <w:rPr>
          <w:rFonts w:hint="eastAsia" w:ascii="宋体" w:hAnsi="宋体" w:eastAsia="宋体" w:cs="宋体"/>
          <w:szCs w:val="22"/>
        </w:rPr>
        <w:t>(8)《道路交通标志板及支撑件》（GB/T 23827-2009）；</w:t>
      </w:r>
    </w:p>
    <w:p>
      <w:pPr>
        <w:rPr>
          <w:rFonts w:hint="eastAsia" w:ascii="宋体" w:hAnsi="宋体" w:eastAsia="宋体" w:cs="宋体"/>
          <w:szCs w:val="22"/>
        </w:rPr>
      </w:pPr>
      <w:r>
        <w:rPr>
          <w:rFonts w:hint="eastAsia" w:ascii="宋体" w:hAnsi="宋体" w:eastAsia="宋体" w:cs="宋体"/>
          <w:szCs w:val="22"/>
        </w:rPr>
        <w:t>(9)《道路交通反光膜》（GB/T18833-2012）；</w:t>
      </w:r>
    </w:p>
    <w:p>
      <w:pPr>
        <w:rPr>
          <w:rFonts w:hint="eastAsia" w:ascii="宋体" w:hAnsi="宋体" w:eastAsia="宋体" w:cs="宋体"/>
          <w:szCs w:val="22"/>
        </w:rPr>
      </w:pPr>
      <w:r>
        <w:rPr>
          <w:rFonts w:hint="eastAsia" w:ascii="宋体" w:hAnsi="宋体" w:eastAsia="宋体" w:cs="宋体"/>
          <w:szCs w:val="22"/>
        </w:rPr>
        <w:t>(10)《路面标线涂料》（JT/T280-2004）；</w:t>
      </w:r>
    </w:p>
    <w:p>
      <w:pPr>
        <w:rPr>
          <w:rFonts w:hint="eastAsia" w:ascii="宋体" w:hAnsi="宋体" w:eastAsia="宋体" w:cs="宋体"/>
          <w:szCs w:val="22"/>
        </w:rPr>
      </w:pPr>
      <w:r>
        <w:rPr>
          <w:rFonts w:hint="eastAsia" w:ascii="宋体" w:hAnsi="宋体" w:eastAsia="宋体" w:cs="宋体"/>
          <w:szCs w:val="22"/>
        </w:rPr>
        <w:t>(11)《路面标线用玻璃珠》（GB/T 24722-2009）；</w:t>
      </w:r>
    </w:p>
    <w:p>
      <w:pPr>
        <w:rPr>
          <w:rFonts w:hint="eastAsia" w:ascii="宋体" w:hAnsi="宋体" w:eastAsia="宋体" w:cs="宋体"/>
          <w:szCs w:val="22"/>
        </w:rPr>
      </w:pPr>
      <w:r>
        <w:rPr>
          <w:rFonts w:hint="eastAsia" w:ascii="宋体" w:hAnsi="宋体" w:eastAsia="宋体" w:cs="宋体"/>
          <w:szCs w:val="22"/>
        </w:rPr>
        <w:t>(12)《连续热镀锌钢板及钢带》(GB/T2518-2008)；</w:t>
      </w:r>
    </w:p>
    <w:p>
      <w:pPr>
        <w:rPr>
          <w:rFonts w:hint="eastAsia" w:ascii="宋体" w:hAnsi="宋体" w:eastAsia="宋体" w:cs="宋体"/>
          <w:szCs w:val="22"/>
        </w:rPr>
      </w:pPr>
      <w:r>
        <w:rPr>
          <w:rFonts w:hint="eastAsia" w:ascii="宋体" w:hAnsi="宋体" w:eastAsia="宋体" w:cs="宋体"/>
          <w:szCs w:val="22"/>
        </w:rPr>
        <w:t>(13)《工业用铝及铝合金热挤压型材》(GB/T6892—2000)；</w:t>
      </w:r>
    </w:p>
    <w:p>
      <w:pPr>
        <w:rPr>
          <w:rFonts w:hint="eastAsia" w:ascii="宋体" w:hAnsi="宋体" w:eastAsia="宋体" w:cs="宋体"/>
          <w:szCs w:val="22"/>
        </w:rPr>
      </w:pPr>
      <w:r>
        <w:rPr>
          <w:rFonts w:hint="eastAsia" w:ascii="宋体" w:hAnsi="宋体" w:eastAsia="宋体" w:cs="宋体"/>
          <w:szCs w:val="22"/>
        </w:rPr>
        <w:t>(14)《道路交通标线质量要求和检测方法》(GB/T16311—2009)；</w:t>
      </w:r>
    </w:p>
    <w:p>
      <w:pPr>
        <w:rPr>
          <w:rFonts w:hint="eastAsia" w:ascii="宋体" w:hAnsi="宋体" w:eastAsia="宋体" w:cs="宋体"/>
          <w:szCs w:val="22"/>
        </w:rPr>
      </w:pPr>
      <w:r>
        <w:rPr>
          <w:rFonts w:hint="eastAsia" w:ascii="宋体" w:hAnsi="宋体" w:eastAsia="宋体" w:cs="宋体"/>
          <w:szCs w:val="22"/>
        </w:rPr>
        <w:t>(15)《道路交通信号灯设置与安装规范》（GB 14886-2016）；</w:t>
      </w:r>
    </w:p>
    <w:p>
      <w:pPr>
        <w:rPr>
          <w:rFonts w:hint="eastAsia" w:ascii="宋体" w:hAnsi="宋体" w:eastAsia="宋体" w:cs="宋体"/>
          <w:szCs w:val="22"/>
        </w:rPr>
      </w:pPr>
      <w:r>
        <w:rPr>
          <w:rFonts w:hint="eastAsia" w:ascii="宋体" w:hAnsi="宋体" w:eastAsia="宋体" w:cs="宋体"/>
          <w:szCs w:val="22"/>
        </w:rPr>
        <w:t>(16)《道路交通信号控制机》（GB 25280-2010）；</w:t>
      </w:r>
    </w:p>
    <w:p>
      <w:pPr>
        <w:rPr>
          <w:rFonts w:hint="eastAsia" w:ascii="宋体" w:hAnsi="宋体" w:eastAsia="宋体" w:cs="宋体"/>
          <w:szCs w:val="22"/>
        </w:rPr>
      </w:pPr>
      <w:r>
        <w:rPr>
          <w:rFonts w:hint="eastAsia" w:ascii="宋体" w:hAnsi="宋体" w:eastAsia="宋体" w:cs="宋体"/>
          <w:szCs w:val="22"/>
        </w:rPr>
        <w:t>(17)《道路交通信号灯》（GB 14887-2011）；</w:t>
      </w:r>
    </w:p>
    <w:p>
      <w:pPr>
        <w:rPr>
          <w:rFonts w:hint="eastAsia" w:ascii="宋体" w:hAnsi="宋体" w:eastAsia="宋体" w:cs="宋体"/>
          <w:szCs w:val="22"/>
        </w:rPr>
      </w:pPr>
      <w:r>
        <w:rPr>
          <w:rFonts w:hint="eastAsia" w:ascii="宋体" w:hAnsi="宋体" w:eastAsia="宋体" w:cs="宋体"/>
          <w:szCs w:val="22"/>
        </w:rPr>
        <w:t>(18)《城市交通信号控制系统术语》（GA/T 509- 2004）；</w:t>
      </w:r>
    </w:p>
    <w:p>
      <w:pPr>
        <w:rPr>
          <w:rFonts w:hint="eastAsia" w:ascii="宋体" w:hAnsi="宋体" w:eastAsia="宋体" w:cs="宋体"/>
          <w:szCs w:val="22"/>
        </w:rPr>
      </w:pPr>
      <w:r>
        <w:rPr>
          <w:rFonts w:hint="eastAsia" w:ascii="宋体" w:hAnsi="宋体" w:eastAsia="宋体" w:cs="宋体"/>
          <w:szCs w:val="22"/>
        </w:rPr>
        <w:t>(19)《城市道路交通信号控制方式适用规范》（GA/T 527-2005）；</w:t>
      </w:r>
    </w:p>
    <w:p>
      <w:pPr>
        <w:rPr>
          <w:rFonts w:hint="eastAsia" w:ascii="宋体" w:hAnsi="宋体" w:eastAsia="宋体" w:cs="宋体"/>
          <w:szCs w:val="22"/>
        </w:rPr>
      </w:pPr>
      <w:r>
        <w:rPr>
          <w:rFonts w:hint="eastAsia" w:ascii="宋体" w:hAnsi="宋体" w:eastAsia="宋体" w:cs="宋体"/>
          <w:szCs w:val="22"/>
        </w:rPr>
        <w:t>(20)《建筑物防雷设计规范》（GB 50057－2010）；</w:t>
      </w:r>
    </w:p>
    <w:p>
      <w:pPr>
        <w:rPr>
          <w:rFonts w:hint="eastAsia" w:ascii="宋体" w:hAnsi="宋体" w:eastAsia="宋体" w:cs="宋体"/>
          <w:szCs w:val="22"/>
        </w:rPr>
      </w:pPr>
      <w:r>
        <w:rPr>
          <w:rFonts w:hint="eastAsia" w:ascii="宋体" w:hAnsi="宋体" w:eastAsia="宋体" w:cs="宋体"/>
          <w:szCs w:val="22"/>
        </w:rPr>
        <w:t>(21)《电力工程电缆设计规范》（GB 50217－2007）；</w:t>
      </w:r>
    </w:p>
    <w:p>
      <w:pPr>
        <w:rPr>
          <w:rFonts w:hint="eastAsia" w:ascii="宋体" w:hAnsi="宋体" w:eastAsia="宋体" w:cs="宋体"/>
          <w:szCs w:val="22"/>
        </w:rPr>
      </w:pPr>
      <w:r>
        <w:rPr>
          <w:rFonts w:hint="eastAsia" w:ascii="宋体" w:hAnsi="宋体" w:eastAsia="宋体" w:cs="宋体"/>
          <w:szCs w:val="22"/>
        </w:rPr>
        <w:t>(22)《低压配电设计规范》（GB 50054－2011）等。</w:t>
      </w:r>
    </w:p>
    <w:p>
      <w:pPr>
        <w:rPr>
          <w:rFonts w:hint="eastAsia"/>
        </w:rPr>
      </w:pPr>
      <w:r>
        <w:rPr>
          <w:rFonts w:hint="eastAsia"/>
        </w:rPr>
        <w:t>特别说明：以上规范、标准等如有以现行最新的规范、标准等相冲突的，一律以最新的规范、标准等为据！</w:t>
      </w:r>
    </w:p>
    <w:p>
      <w:pPr>
        <w:pStyle w:val="2"/>
        <w:bidi w:val="0"/>
        <w:ind w:left="432" w:leftChars="0" w:hanging="432" w:firstLineChars="0"/>
        <w:rPr>
          <w:rFonts w:hint="eastAsia"/>
          <w:lang w:val="en-US" w:eastAsia="zh-CN"/>
        </w:rPr>
      </w:pPr>
      <w:r>
        <w:rPr>
          <w:rFonts w:hint="eastAsia"/>
          <w:lang w:val="en-US" w:eastAsia="zh-CN"/>
        </w:rPr>
        <w:t>工程概况</w:t>
      </w:r>
    </w:p>
    <w:p>
      <w:pPr>
        <w:bidi w:val="0"/>
        <w:rPr>
          <w:rFonts w:hint="eastAsia" w:ascii="宋体" w:hAnsi="宋体"/>
          <w:sz w:val="24"/>
          <w:szCs w:val="24"/>
        </w:rPr>
      </w:pPr>
      <w:r>
        <w:rPr>
          <w:rFonts w:hint="eastAsia" w:ascii="宋体" w:hAnsi="宋体" w:eastAsia="宋体" w:cs="宋体"/>
          <w:lang w:val="en-US" w:eastAsia="zh-CN"/>
        </w:rPr>
        <w:t>本项目道路工程，设计起点接大洋堆西路</w:t>
      </w:r>
      <w:r>
        <w:rPr>
          <w:rFonts w:hint="eastAsia" w:cs="宋体"/>
          <w:lang w:val="en-US" w:eastAsia="zh-CN"/>
        </w:rPr>
        <w:t>与园区大道交叉口</w:t>
      </w:r>
      <w:r>
        <w:rPr>
          <w:rFonts w:hint="eastAsia" w:ascii="宋体" w:hAnsi="宋体" w:eastAsia="宋体" w:cs="宋体"/>
          <w:lang w:val="en-US" w:eastAsia="zh-CN"/>
        </w:rPr>
        <w:t>，道路呈</w:t>
      </w:r>
      <w:r>
        <w:rPr>
          <w:rFonts w:hint="eastAsia" w:cs="宋体"/>
          <w:lang w:val="en-US" w:eastAsia="zh-CN"/>
        </w:rPr>
        <w:t>南北</w:t>
      </w:r>
      <w:r>
        <w:rPr>
          <w:rFonts w:hint="eastAsia" w:ascii="宋体" w:hAnsi="宋体" w:eastAsia="宋体" w:cs="宋体"/>
          <w:lang w:val="en-US" w:eastAsia="zh-CN"/>
        </w:rPr>
        <w:t>走向，终点止于</w:t>
      </w:r>
      <w:r>
        <w:rPr>
          <w:rFonts w:hint="eastAsia" w:cs="宋体"/>
          <w:lang w:val="en-US" w:eastAsia="zh-CN"/>
        </w:rPr>
        <w:t>钢钒西路</w:t>
      </w:r>
      <w:r>
        <w:rPr>
          <w:rFonts w:hint="eastAsia" w:ascii="宋体" w:hAnsi="宋体" w:eastAsia="宋体" w:cs="宋体"/>
          <w:lang w:val="en-US" w:eastAsia="zh-CN"/>
        </w:rPr>
        <w:t>，</w:t>
      </w:r>
      <w:r>
        <w:rPr>
          <w:rFonts w:hint="eastAsia" w:cs="宋体"/>
          <w:lang w:val="en-US" w:eastAsia="zh-CN"/>
        </w:rPr>
        <w:t>其中</w:t>
      </w:r>
      <w:r>
        <w:rPr>
          <w:rFonts w:hint="eastAsia" w:ascii="宋体" w:hAnsi="宋体" w:eastAsia="宋体" w:cs="宋体"/>
          <w:lang w:val="en-US" w:eastAsia="zh-CN"/>
        </w:rPr>
        <w:t>东侧辅道长度为1241.393m，西侧辅道长度为1281.481m，根据西昌市高新投（业主）提供的道路红线图，东侧、西侧辅道红线宽度分别为10.5m。经过现场实际测量，K0+000-K0+740段东侧、西侧辅道道路外侧红线至主路挡墙段只有9.5m，K0+740-K1+261.437段红线宽度满足10.5m要求。本次方案在征求业主同意后K0+000-K0+740段（已建挡墙段）按照9.5m、K0+740-K1+261.437段（已建桥梁段）按照10.5m宽进行布置横断面</w:t>
      </w:r>
      <w:bookmarkStart w:id="0" w:name="_GoBack"/>
      <w:bookmarkEnd w:id="0"/>
      <w:r>
        <w:rPr>
          <w:rFonts w:hint="eastAsia" w:ascii="宋体" w:hAnsi="宋体" w:eastAsia="宋体" w:cs="宋体"/>
          <w:lang w:val="en-US" w:eastAsia="zh-CN"/>
        </w:rPr>
        <w:t>。路幅形式为单幅路，道路等级为城市次干路，设计速度为40km/h。</w:t>
      </w:r>
    </w:p>
    <w:p>
      <w:pPr>
        <w:pStyle w:val="2"/>
        <w:bidi w:val="0"/>
        <w:ind w:left="432" w:leftChars="0" w:hanging="432" w:firstLineChars="0"/>
        <w:rPr>
          <w:rFonts w:hint="eastAsia"/>
          <w:lang w:val="en-US" w:eastAsia="zh-CN"/>
        </w:rPr>
      </w:pPr>
      <w:r>
        <w:rPr>
          <w:rFonts w:hint="eastAsia"/>
          <w:lang w:val="en-US" w:eastAsia="zh-CN"/>
        </w:rPr>
        <w:t>设计概要</w:t>
      </w:r>
    </w:p>
    <w:p>
      <w:pPr>
        <w:spacing w:line="360" w:lineRule="auto"/>
        <w:ind w:firstLine="480" w:firstLineChars="200"/>
        <w:rPr>
          <w:rFonts w:hint="eastAsia" w:ascii="宋体" w:hAnsi="宋体"/>
          <w:sz w:val="24"/>
          <w:szCs w:val="24"/>
        </w:rPr>
      </w:pPr>
      <w:r>
        <w:rPr>
          <w:rFonts w:hint="eastAsia" w:ascii="宋体" w:hAnsi="宋体"/>
          <w:sz w:val="24"/>
        </w:rPr>
        <w:t>本项目交通安全设施设计内容包括标志、标线、</w:t>
      </w:r>
      <w:r>
        <w:rPr>
          <w:rFonts w:ascii="宋体" w:hAnsi="宋体"/>
          <w:sz w:val="24"/>
        </w:rPr>
        <w:t>信号灯</w:t>
      </w:r>
      <w:r>
        <w:rPr>
          <w:rFonts w:hint="eastAsia" w:ascii="宋体" w:hAnsi="宋体"/>
          <w:sz w:val="24"/>
        </w:rPr>
        <w:t>。交通设施等级为</w:t>
      </w:r>
      <w:r>
        <w:rPr>
          <w:rFonts w:hint="eastAsia" w:ascii="宋体" w:hAnsi="宋体"/>
          <w:sz w:val="24"/>
          <w:lang w:val="en-US" w:eastAsia="zh-CN"/>
        </w:rPr>
        <w:t>C</w:t>
      </w:r>
      <w:r>
        <w:rPr>
          <w:rFonts w:hint="eastAsia" w:ascii="宋体" w:hAnsi="宋体"/>
          <w:sz w:val="24"/>
        </w:rPr>
        <w:t>级。</w:t>
      </w:r>
    </w:p>
    <w:p>
      <w:pPr>
        <w:pStyle w:val="3"/>
        <w:bidi w:val="0"/>
        <w:ind w:left="575" w:leftChars="0" w:hanging="575" w:firstLineChars="0"/>
        <w:rPr>
          <w:rFonts w:hint="eastAsia"/>
          <w:lang w:val="en-US" w:eastAsia="zh-CN"/>
        </w:rPr>
      </w:pPr>
      <w:r>
        <w:rPr>
          <w:rFonts w:hint="eastAsia"/>
          <w:lang w:val="en-US" w:eastAsia="zh-CN"/>
        </w:rPr>
        <w:t>交通标志</w:t>
      </w:r>
    </w:p>
    <w:p>
      <w:pPr>
        <w:pStyle w:val="4"/>
        <w:bidi w:val="0"/>
        <w:ind w:left="720" w:leftChars="0" w:hanging="720" w:firstLineChars="0"/>
        <w:rPr>
          <w:rFonts w:hint="eastAsia"/>
        </w:rPr>
      </w:pPr>
      <w:r>
        <w:rPr>
          <w:rFonts w:hint="eastAsia"/>
        </w:rPr>
        <w:t>设计原则</w:t>
      </w:r>
    </w:p>
    <w:p>
      <w:pPr>
        <w:spacing w:line="360" w:lineRule="auto"/>
        <w:ind w:firstLine="480" w:firstLineChars="200"/>
        <w:rPr>
          <w:rFonts w:hint="eastAsia" w:ascii="宋体" w:hAnsi="宋体"/>
          <w:sz w:val="24"/>
          <w:szCs w:val="24"/>
        </w:rPr>
      </w:pPr>
      <w:r>
        <w:rPr>
          <w:rFonts w:hint="eastAsia" w:ascii="宋体" w:hAnsi="宋体"/>
          <w:sz w:val="24"/>
          <w:szCs w:val="24"/>
        </w:rPr>
        <w:t xml:space="preserve">设置交通标志，意过对驾驶员适时、准确的诱导，充分发挥道路快速、舒适、安全的效能；道路全线应采用统一的设置标准、版面规格，在特殊情况下，交通标志的设置位置与统一性发生矛盾时，应优先保证交通标志的可读性和视认性； </w:t>
      </w:r>
    </w:p>
    <w:p>
      <w:pPr>
        <w:spacing w:line="360" w:lineRule="auto"/>
        <w:ind w:firstLine="480" w:firstLineChars="200"/>
        <w:rPr>
          <w:rFonts w:hint="eastAsia" w:ascii="宋体" w:hAnsi="宋体"/>
          <w:sz w:val="24"/>
          <w:szCs w:val="24"/>
        </w:rPr>
      </w:pPr>
      <w:r>
        <w:rPr>
          <w:rFonts w:hint="eastAsia" w:ascii="宋体" w:hAnsi="宋体"/>
          <w:sz w:val="24"/>
          <w:szCs w:val="24"/>
        </w:rPr>
        <w:t>本工程交通标志的设计主要以完全不熟悉本项目及周围路网体系的司机为对象，使其通过交通标志的引导，顺利、快捷、安全地抵达目的地，避免发生错误行使；同时交通标志的平面布设与其它系统协调配合，统一布局，形成一个整体体系，尽量做到完善、美观、适用。</w:t>
      </w:r>
    </w:p>
    <w:p>
      <w:pPr>
        <w:pStyle w:val="4"/>
        <w:bidi w:val="0"/>
        <w:ind w:left="720" w:leftChars="0" w:hanging="720" w:firstLineChars="0"/>
        <w:rPr>
          <w:rFonts w:hint="eastAsia"/>
        </w:rPr>
      </w:pPr>
      <w:r>
        <w:rPr>
          <w:rFonts w:hint="eastAsia"/>
        </w:rPr>
        <w:t>设计内容</w:t>
      </w:r>
    </w:p>
    <w:p>
      <w:pPr>
        <w:spacing w:line="360" w:lineRule="auto"/>
        <w:ind w:firstLine="480" w:firstLineChars="200"/>
        <w:rPr>
          <w:rFonts w:hint="eastAsia" w:ascii="宋体" w:hAnsi="宋体"/>
          <w:sz w:val="24"/>
          <w:szCs w:val="24"/>
        </w:rPr>
      </w:pPr>
      <w:r>
        <w:rPr>
          <w:rFonts w:hint="eastAsia" w:ascii="宋体" w:hAnsi="宋体"/>
          <w:sz w:val="24"/>
          <w:szCs w:val="24"/>
        </w:rPr>
        <w:t>本路段交通标志共分三类：禁令标志、指示标志和指路标志，主要包括限速标志、指路标志等。标志颜色、形状、字符及设置位置按《道路交通标志标线》（GB5768-2009）执行。标志结构采用柱式、悬臂、附着式三种。</w:t>
      </w:r>
      <w:r>
        <w:rPr>
          <w:rFonts w:hint="eastAsia" w:ascii="宋体" w:hAnsi="宋体"/>
          <w:bCs/>
          <w:sz w:val="24"/>
          <w:szCs w:val="24"/>
        </w:rPr>
        <w:t>标志面板反光材料采用Ⅳ类反光膜。</w:t>
      </w:r>
      <w:r>
        <w:rPr>
          <w:rFonts w:hint="eastAsia" w:ascii="宋体" w:hAnsi="宋体"/>
          <w:sz w:val="24"/>
          <w:szCs w:val="24"/>
        </w:rPr>
        <w:t>标志版面采用中英文对照， 汉字高400mm，英文字母高度为汉字高的1/2布置。指路标志指示内容采用路线名称信息和地点名称信息结合的方式确定，蓝底白字符、图案，禁令标志按国标设计制作，标志结构设计抗风速22m/s。</w:t>
      </w:r>
    </w:p>
    <w:p>
      <w:pPr>
        <w:pStyle w:val="4"/>
        <w:bidi w:val="0"/>
        <w:ind w:left="720" w:leftChars="0" w:hanging="720" w:firstLineChars="0"/>
        <w:rPr>
          <w:rFonts w:hint="eastAsia"/>
        </w:rPr>
      </w:pPr>
      <w:r>
        <w:rPr>
          <w:rFonts w:hint="eastAsia"/>
        </w:rPr>
        <w:t>材料规格</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标志立柱和横梁：凡立柱及横臂设计壁厚≥5mm时，须采用20＃无缝钢管，臂厚＜5mm时采用Q235焊管。并应符合《碳素结构钢》（GB/T 700-2006）的要求及《结构用无缝钢管》（GB/T 8162-2009）的规定。</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标志板采用牌号为3003的铝合金板材，其抗拉强度应不小于95Mpa，并符合《道路交通标志版及支撑件》（GB/T23827-2009）的规定；标志版面大于4.5平方米的铝板厚度为3mm；标志版面1--4.5平方米的铝板厚度为2.5 mm；标志版面小于1平方米的铝板厚度为1.5mm，边缘应进行机制滚边（折边）处理。</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滑动槽铝采用LC4铝合金挤压型材，并符合GB/T6892-2006《铝及铝合金挤压型材》及《道路交通标志版及支撑件》（GB/T23827-2009）的规定；</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高强螺栓：高强连接螺栓和高强地脚螺栓（包括相应的螺母、垫圈）采用40B或45号钢（并镀锌），并符合GB1231-76的规定；</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水泥混凝土基础材料：混凝土强度应不小于25Mpa；</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钢筋采用热轧钢筋，并符合现行《公路钢筋混凝土及预应力混凝土桥涵设计规范》的有关规定；</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标志结构件中所有的钢构件（包括螺栓、螺母）均需热浸镀锌后再喷塑进行表面处理，所用锌应为《锌锭》（GB470-2008）中规定的0号或1号锌。其中，立柱、横梁、法兰盘的镀锌量为600g/m2，紧固件为350 g/m2，螺栓连接件在镀锌后应清理螺纹或作离心分离处理。镀锌工艺应符合《锌锭》（GB470-83）的要求，保证镀锌的厚度和均匀度，构件镀锌后，外表应整洁光泽，不得有明显的气泡、裂纹、疤痕、毛刺、端面分层等缺陷。立柱喷塑颜色为深灰（CD001），横臂颜色为浅灰（CD002）。标志板如附着于横臂，则背面喷塑颜色为深灰；如标志板附着于立柱，则背面喷塑颜色为浅灰。</w:t>
      </w:r>
    </w:p>
    <w:p>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反光膜：反光膜的光度性能、色度性能、抗冲击性能、耐弯曲性能、附着性能、收缩性能、防粘纸可剥离性能、抗拉荷载、耐溶剂性能、耐酸雾腐蚀性能、耐高低温性能、耐候性能等应符合交通行业标准《道路交通反光膜》GB/T 18833-2012的要求。本次设计采用IV类反光膜，其色度性能和逆反射性能要求如下：</w:t>
      </w:r>
    </w:p>
    <w:p>
      <w:pPr>
        <w:spacing w:line="360" w:lineRule="auto"/>
        <w:ind w:firstLine="480" w:firstLineChars="200"/>
        <w:rPr>
          <w:rFonts w:hint="eastAsia" w:ascii="宋体" w:hAnsi="宋体"/>
          <w:sz w:val="24"/>
          <w:szCs w:val="24"/>
        </w:rPr>
      </w:pPr>
      <w:r>
        <w:rPr>
          <w:rFonts w:hint="eastAsia" w:ascii="宋体" w:hAnsi="宋体"/>
          <w:sz w:val="24"/>
          <w:szCs w:val="24"/>
        </w:rPr>
        <w:t>色度性能：</w:t>
      </w:r>
    </w:p>
    <w:p>
      <w:pPr>
        <w:spacing w:line="360" w:lineRule="auto"/>
        <w:ind w:firstLine="480" w:firstLineChars="200"/>
        <w:jc w:val="center"/>
        <w:rPr>
          <w:rFonts w:hint="eastAsia" w:ascii="宋体" w:hAnsi="宋体"/>
          <w:sz w:val="24"/>
          <w:szCs w:val="24"/>
        </w:rPr>
      </w:pPr>
      <w:r>
        <w:rPr>
          <w:rFonts w:hint="eastAsia" w:ascii="宋体" w:hAnsi="宋体"/>
          <w:sz w:val="24"/>
          <w:szCs w:val="24"/>
        </w:rPr>
        <w:t>反光膜颜色（昼间色）</w:t>
      </w:r>
    </w:p>
    <w:tbl>
      <w:tblPr>
        <w:tblStyle w:val="20"/>
        <w:tblW w:w="0" w:type="auto"/>
        <w:tblInd w:w="227" w:type="dxa"/>
        <w:tblLayout w:type="fixed"/>
        <w:tblCellMar>
          <w:top w:w="0" w:type="dxa"/>
          <w:left w:w="108" w:type="dxa"/>
          <w:bottom w:w="0" w:type="dxa"/>
          <w:right w:w="108" w:type="dxa"/>
        </w:tblCellMar>
      </w:tblPr>
      <w:tblGrid>
        <w:gridCol w:w="1202"/>
        <w:gridCol w:w="797"/>
        <w:gridCol w:w="800"/>
        <w:gridCol w:w="796"/>
        <w:gridCol w:w="800"/>
        <w:gridCol w:w="796"/>
        <w:gridCol w:w="802"/>
        <w:gridCol w:w="797"/>
        <w:gridCol w:w="804"/>
        <w:gridCol w:w="1418"/>
        <w:gridCol w:w="1477"/>
      </w:tblGrid>
      <w:tr>
        <w:tblPrEx>
          <w:tblCellMar>
            <w:top w:w="0" w:type="dxa"/>
            <w:left w:w="108" w:type="dxa"/>
            <w:bottom w:w="0" w:type="dxa"/>
            <w:right w:w="108" w:type="dxa"/>
          </w:tblCellMar>
        </w:tblPrEx>
        <w:trPr>
          <w:trHeight w:val="816" w:hRule="exact"/>
        </w:trPr>
        <w:tc>
          <w:tcPr>
            <w:tcW w:w="1202"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p>
            <w:pPr>
              <w:pStyle w:val="30"/>
              <w:bidi w:val="0"/>
              <w:rPr>
                <w:rFonts w:hint="eastAsia"/>
                <w:sz w:val="21"/>
                <w:szCs w:val="21"/>
              </w:rPr>
            </w:pPr>
            <w:r>
              <w:rPr>
                <w:rFonts w:hint="eastAsia"/>
                <w:sz w:val="21"/>
                <w:szCs w:val="21"/>
              </w:rPr>
              <w:t>颜色</w:t>
            </w:r>
          </w:p>
        </w:tc>
        <w:tc>
          <w:tcPr>
            <w:tcW w:w="6392" w:type="dxa"/>
            <w:gridSpan w:val="8"/>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色品坐标（标准照明体 D65，几何条件 45°a：0°，2° 视场角）</w:t>
            </w:r>
          </w:p>
        </w:tc>
        <w:tc>
          <w:tcPr>
            <w:tcW w:w="2895"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亮度因数</w:t>
            </w:r>
          </w:p>
        </w:tc>
      </w:tr>
      <w:tr>
        <w:tblPrEx>
          <w:tblCellMar>
            <w:top w:w="0" w:type="dxa"/>
            <w:left w:w="108" w:type="dxa"/>
            <w:bottom w:w="0" w:type="dxa"/>
            <w:right w:w="108" w:type="dxa"/>
          </w:tblCellMar>
        </w:tblPrEx>
        <w:trPr>
          <w:trHeight w:val="382" w:hRule="exact"/>
        </w:trPr>
        <w:tc>
          <w:tcPr>
            <w:tcW w:w="1202"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1597"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w:t>
            </w:r>
          </w:p>
        </w:tc>
        <w:tc>
          <w:tcPr>
            <w:tcW w:w="1598"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w:t>
            </w:r>
          </w:p>
        </w:tc>
        <w:tc>
          <w:tcPr>
            <w:tcW w:w="1601"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4</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无金属镀</w:t>
            </w:r>
          </w:p>
          <w:p>
            <w:pPr>
              <w:pStyle w:val="30"/>
              <w:bidi w:val="0"/>
              <w:rPr>
                <w:rFonts w:hint="eastAsia"/>
                <w:sz w:val="21"/>
                <w:szCs w:val="21"/>
              </w:rPr>
            </w:pPr>
            <w:r>
              <w:rPr>
                <w:rFonts w:hint="eastAsia"/>
                <w:sz w:val="21"/>
                <w:szCs w:val="21"/>
              </w:rPr>
              <w:t>层</w:t>
            </w:r>
          </w:p>
        </w:tc>
        <w:tc>
          <w:tcPr>
            <w:tcW w:w="1477"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有金属镀层</w:t>
            </w:r>
          </w:p>
        </w:tc>
      </w:tr>
      <w:tr>
        <w:tblPrEx>
          <w:tblCellMar>
            <w:top w:w="0" w:type="dxa"/>
            <w:left w:w="108" w:type="dxa"/>
            <w:bottom w:w="0" w:type="dxa"/>
            <w:right w:w="108" w:type="dxa"/>
          </w:tblCellMar>
        </w:tblPrEx>
        <w:trPr>
          <w:trHeight w:val="398" w:hRule="exact"/>
        </w:trPr>
        <w:tc>
          <w:tcPr>
            <w:tcW w:w="1202"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x</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y</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x</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y</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x</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y</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x</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y</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1477"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r>
      <w:tr>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白</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0.350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0.360</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0.305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0.315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0.295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0.325</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0.340</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0.370</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≥0.27</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≥0.15</w:t>
            </w:r>
          </w:p>
        </w:tc>
      </w:tr>
      <w:tr>
        <w:tblPrEx>
          <w:tblCellMar>
            <w:top w:w="0" w:type="dxa"/>
            <w:left w:w="108" w:type="dxa"/>
            <w:bottom w:w="0" w:type="dxa"/>
            <w:right w:w="108" w:type="dxa"/>
          </w:tblCellMar>
        </w:tblPrEx>
        <w:trPr>
          <w:trHeight w:val="394"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黄</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0.545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0.454</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0.494</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0.426</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0.444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0.476</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0.481</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0.518</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0.15～0.45</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0.12～0.30</w:t>
            </w:r>
          </w:p>
        </w:tc>
      </w:tr>
      <w:tr>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橙</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0.558</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0.352</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0.636</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0.364</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0.570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0.429</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0.506</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0.404</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0.10～0.30</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0.07～0.25</w:t>
            </w:r>
          </w:p>
        </w:tc>
      </w:tr>
      <w:tr>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红</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0.735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0.265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0.681</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0.239</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0.579</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0.341</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0.655</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0.345</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0.02～0.15</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0.02～0.11</w:t>
            </w:r>
          </w:p>
        </w:tc>
      </w:tr>
      <w:tr>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绿</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0.201</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0.776</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0.285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0.441</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0.170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0.364</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0.026</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0.399</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0.03～0.12</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0.02～0.11</w:t>
            </w:r>
          </w:p>
        </w:tc>
      </w:tr>
      <w:tr>
        <w:tblPrEx>
          <w:tblCellMar>
            <w:top w:w="0" w:type="dxa"/>
            <w:left w:w="108" w:type="dxa"/>
            <w:bottom w:w="0" w:type="dxa"/>
            <w:right w:w="108" w:type="dxa"/>
          </w:tblCellMar>
        </w:tblPrEx>
        <w:trPr>
          <w:trHeight w:val="40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蓝</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0.049</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0.125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0.172</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0.198</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0.160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0.137</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0.038</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0.01～0.10</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0.01～0.10</w:t>
            </w:r>
          </w:p>
        </w:tc>
      </w:tr>
    </w:tbl>
    <w:p>
      <w:pPr>
        <w:pStyle w:val="12"/>
        <w:kinsoku w:val="0"/>
        <w:overflowPunct w:val="0"/>
        <w:spacing w:before="91"/>
        <w:ind w:right="3810"/>
        <w:jc w:val="right"/>
        <w:rPr>
          <w:rFonts w:hint="eastAsia"/>
          <w:sz w:val="24"/>
        </w:rPr>
      </w:pPr>
      <w:r>
        <w:rPr>
          <w:rFonts w:hint="eastAsia"/>
          <w:sz w:val="24"/>
        </w:rPr>
        <w:t>反光膜颜色（夜间色）</w:t>
      </w:r>
    </w:p>
    <w:tbl>
      <w:tblPr>
        <w:tblStyle w:val="20"/>
        <w:tblW w:w="0" w:type="auto"/>
        <w:tblInd w:w="2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091"/>
        <w:gridCol w:w="1093"/>
        <w:gridCol w:w="1091"/>
        <w:gridCol w:w="1092"/>
        <w:gridCol w:w="1089"/>
        <w:gridCol w:w="1093"/>
        <w:gridCol w:w="1091"/>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exact"/>
        </w:trPr>
        <w:tc>
          <w:tcPr>
            <w:tcW w:w="1429" w:type="dxa"/>
            <w:vMerge w:val="restart"/>
            <w:noWrap w:val="0"/>
            <w:vAlign w:val="center"/>
          </w:tcPr>
          <w:p>
            <w:pPr>
              <w:pStyle w:val="30"/>
              <w:bidi w:val="0"/>
              <w:rPr>
                <w:rFonts w:hint="eastAsia"/>
                <w:sz w:val="21"/>
                <w:szCs w:val="21"/>
              </w:rPr>
            </w:pPr>
          </w:p>
          <w:p>
            <w:pPr>
              <w:pStyle w:val="30"/>
              <w:bidi w:val="0"/>
              <w:rPr>
                <w:rFonts w:hint="eastAsia"/>
                <w:sz w:val="21"/>
                <w:szCs w:val="21"/>
              </w:rPr>
            </w:pPr>
            <w:r>
              <w:rPr>
                <w:rFonts w:hint="eastAsia"/>
                <w:sz w:val="21"/>
                <w:szCs w:val="21"/>
              </w:rPr>
              <w:t>颜色</w:t>
            </w:r>
          </w:p>
        </w:tc>
        <w:tc>
          <w:tcPr>
            <w:tcW w:w="8870" w:type="dxa"/>
            <w:gridSpan w:val="8"/>
            <w:noWrap w:val="0"/>
            <w:vAlign w:val="center"/>
          </w:tcPr>
          <w:p>
            <w:pPr>
              <w:pStyle w:val="30"/>
              <w:bidi w:val="0"/>
              <w:rPr>
                <w:rFonts w:hint="eastAsia"/>
                <w:sz w:val="21"/>
                <w:szCs w:val="21"/>
              </w:rPr>
            </w:pPr>
            <w:r>
              <w:rPr>
                <w:rFonts w:hint="eastAsia"/>
                <w:sz w:val="21"/>
                <w:szCs w:val="21"/>
              </w:rPr>
              <w:t>色品坐标（标准照明体 A， 2°视场角）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exact"/>
        </w:trPr>
        <w:tc>
          <w:tcPr>
            <w:tcW w:w="1429" w:type="dxa"/>
            <w:vMerge w:val="continue"/>
            <w:noWrap w:val="0"/>
            <w:vAlign w:val="center"/>
          </w:tcPr>
          <w:p>
            <w:pPr>
              <w:pStyle w:val="30"/>
              <w:bidi w:val="0"/>
              <w:rPr>
                <w:rFonts w:hint="eastAsia"/>
                <w:sz w:val="21"/>
                <w:szCs w:val="21"/>
              </w:rPr>
            </w:pPr>
          </w:p>
        </w:tc>
        <w:tc>
          <w:tcPr>
            <w:tcW w:w="2184" w:type="dxa"/>
            <w:gridSpan w:val="2"/>
            <w:noWrap w:val="0"/>
            <w:vAlign w:val="center"/>
          </w:tcPr>
          <w:p>
            <w:pPr>
              <w:pStyle w:val="30"/>
              <w:bidi w:val="0"/>
              <w:rPr>
                <w:rFonts w:hint="eastAsia"/>
                <w:sz w:val="21"/>
                <w:szCs w:val="21"/>
              </w:rPr>
            </w:pPr>
            <w:r>
              <w:rPr>
                <w:rFonts w:hint="eastAsia"/>
                <w:sz w:val="21"/>
                <w:szCs w:val="21"/>
              </w:rPr>
              <w:t>1</w:t>
            </w:r>
          </w:p>
        </w:tc>
        <w:tc>
          <w:tcPr>
            <w:tcW w:w="2183" w:type="dxa"/>
            <w:gridSpan w:val="2"/>
            <w:noWrap w:val="0"/>
            <w:vAlign w:val="center"/>
          </w:tcPr>
          <w:p>
            <w:pPr>
              <w:pStyle w:val="30"/>
              <w:bidi w:val="0"/>
              <w:rPr>
                <w:rFonts w:hint="eastAsia"/>
                <w:sz w:val="21"/>
                <w:szCs w:val="21"/>
              </w:rPr>
            </w:pPr>
            <w:r>
              <w:rPr>
                <w:rFonts w:hint="eastAsia"/>
                <w:sz w:val="21"/>
                <w:szCs w:val="21"/>
              </w:rPr>
              <w:t>2</w:t>
            </w:r>
          </w:p>
        </w:tc>
        <w:tc>
          <w:tcPr>
            <w:tcW w:w="2182" w:type="dxa"/>
            <w:gridSpan w:val="2"/>
            <w:noWrap w:val="0"/>
            <w:vAlign w:val="center"/>
          </w:tcPr>
          <w:p>
            <w:pPr>
              <w:pStyle w:val="30"/>
              <w:bidi w:val="0"/>
              <w:rPr>
                <w:rFonts w:hint="eastAsia"/>
                <w:sz w:val="21"/>
                <w:szCs w:val="21"/>
              </w:rPr>
            </w:pPr>
            <w:r>
              <w:rPr>
                <w:rFonts w:hint="eastAsia"/>
                <w:sz w:val="21"/>
                <w:szCs w:val="21"/>
              </w:rPr>
              <w:t>3</w:t>
            </w:r>
          </w:p>
        </w:tc>
        <w:tc>
          <w:tcPr>
            <w:tcW w:w="2321" w:type="dxa"/>
            <w:gridSpan w:val="2"/>
            <w:noWrap w:val="0"/>
            <w:vAlign w:val="center"/>
          </w:tcPr>
          <w:p>
            <w:pPr>
              <w:pStyle w:val="30"/>
              <w:bidi w:val="0"/>
              <w:rPr>
                <w:rFonts w:hint="eastAsia"/>
                <w:sz w:val="21"/>
                <w:szCs w:val="21"/>
              </w:rPr>
            </w:pPr>
            <w:r>
              <w:rPr>
                <w:rFonts w:hint="eastAsia"/>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exact"/>
        </w:trPr>
        <w:tc>
          <w:tcPr>
            <w:tcW w:w="1429" w:type="dxa"/>
            <w:vMerge w:val="continue"/>
            <w:noWrap w:val="0"/>
            <w:vAlign w:val="center"/>
          </w:tcPr>
          <w:p>
            <w:pPr>
              <w:pStyle w:val="30"/>
              <w:bidi w:val="0"/>
              <w:rPr>
                <w:rFonts w:hint="eastAsia"/>
                <w:sz w:val="21"/>
                <w:szCs w:val="21"/>
              </w:rPr>
            </w:pPr>
          </w:p>
        </w:tc>
        <w:tc>
          <w:tcPr>
            <w:tcW w:w="1091" w:type="dxa"/>
            <w:noWrap w:val="0"/>
            <w:vAlign w:val="center"/>
          </w:tcPr>
          <w:p>
            <w:pPr>
              <w:pStyle w:val="30"/>
              <w:bidi w:val="0"/>
              <w:rPr>
                <w:rFonts w:hint="eastAsia"/>
                <w:sz w:val="21"/>
                <w:szCs w:val="21"/>
              </w:rPr>
            </w:pPr>
            <w:r>
              <w:rPr>
                <w:rFonts w:hint="eastAsia"/>
                <w:sz w:val="21"/>
                <w:szCs w:val="21"/>
              </w:rPr>
              <w:t>x</w:t>
            </w:r>
          </w:p>
        </w:tc>
        <w:tc>
          <w:tcPr>
            <w:tcW w:w="1093" w:type="dxa"/>
            <w:noWrap w:val="0"/>
            <w:vAlign w:val="center"/>
          </w:tcPr>
          <w:p>
            <w:pPr>
              <w:pStyle w:val="30"/>
              <w:bidi w:val="0"/>
              <w:rPr>
                <w:rFonts w:hint="eastAsia"/>
                <w:sz w:val="21"/>
                <w:szCs w:val="21"/>
              </w:rPr>
            </w:pPr>
            <w:r>
              <w:rPr>
                <w:rFonts w:hint="eastAsia"/>
                <w:sz w:val="21"/>
                <w:szCs w:val="21"/>
              </w:rPr>
              <w:t>y</w:t>
            </w:r>
          </w:p>
        </w:tc>
        <w:tc>
          <w:tcPr>
            <w:tcW w:w="1091" w:type="dxa"/>
            <w:noWrap w:val="0"/>
            <w:vAlign w:val="center"/>
          </w:tcPr>
          <w:p>
            <w:pPr>
              <w:pStyle w:val="30"/>
              <w:bidi w:val="0"/>
              <w:rPr>
                <w:rFonts w:hint="eastAsia"/>
                <w:sz w:val="21"/>
                <w:szCs w:val="21"/>
              </w:rPr>
            </w:pPr>
            <w:r>
              <w:rPr>
                <w:rFonts w:hint="eastAsia"/>
                <w:sz w:val="21"/>
                <w:szCs w:val="21"/>
              </w:rPr>
              <w:t>x</w:t>
            </w:r>
          </w:p>
        </w:tc>
        <w:tc>
          <w:tcPr>
            <w:tcW w:w="1092" w:type="dxa"/>
            <w:noWrap w:val="0"/>
            <w:vAlign w:val="center"/>
          </w:tcPr>
          <w:p>
            <w:pPr>
              <w:pStyle w:val="30"/>
              <w:bidi w:val="0"/>
              <w:rPr>
                <w:rFonts w:hint="eastAsia"/>
                <w:sz w:val="21"/>
                <w:szCs w:val="21"/>
              </w:rPr>
            </w:pPr>
            <w:r>
              <w:rPr>
                <w:rFonts w:hint="eastAsia"/>
                <w:sz w:val="21"/>
                <w:szCs w:val="21"/>
              </w:rPr>
              <w:t>y</w:t>
            </w:r>
          </w:p>
        </w:tc>
        <w:tc>
          <w:tcPr>
            <w:tcW w:w="1089" w:type="dxa"/>
            <w:noWrap w:val="0"/>
            <w:vAlign w:val="center"/>
          </w:tcPr>
          <w:p>
            <w:pPr>
              <w:pStyle w:val="30"/>
              <w:bidi w:val="0"/>
              <w:rPr>
                <w:rFonts w:hint="eastAsia"/>
                <w:sz w:val="21"/>
                <w:szCs w:val="21"/>
              </w:rPr>
            </w:pPr>
            <w:r>
              <w:rPr>
                <w:rFonts w:hint="eastAsia"/>
                <w:sz w:val="21"/>
                <w:szCs w:val="21"/>
              </w:rPr>
              <w:t>x</w:t>
            </w:r>
          </w:p>
        </w:tc>
        <w:tc>
          <w:tcPr>
            <w:tcW w:w="1093" w:type="dxa"/>
            <w:noWrap w:val="0"/>
            <w:vAlign w:val="center"/>
          </w:tcPr>
          <w:p>
            <w:pPr>
              <w:pStyle w:val="30"/>
              <w:bidi w:val="0"/>
              <w:rPr>
                <w:rFonts w:hint="eastAsia"/>
                <w:sz w:val="21"/>
                <w:szCs w:val="21"/>
              </w:rPr>
            </w:pPr>
            <w:r>
              <w:rPr>
                <w:rFonts w:hint="eastAsia"/>
                <w:sz w:val="21"/>
                <w:szCs w:val="21"/>
              </w:rPr>
              <w:t>y</w:t>
            </w:r>
          </w:p>
        </w:tc>
        <w:tc>
          <w:tcPr>
            <w:tcW w:w="1091" w:type="dxa"/>
            <w:noWrap w:val="0"/>
            <w:vAlign w:val="center"/>
          </w:tcPr>
          <w:p>
            <w:pPr>
              <w:pStyle w:val="30"/>
              <w:bidi w:val="0"/>
              <w:rPr>
                <w:rFonts w:hint="eastAsia"/>
                <w:sz w:val="21"/>
                <w:szCs w:val="21"/>
              </w:rPr>
            </w:pPr>
            <w:r>
              <w:rPr>
                <w:rFonts w:hint="eastAsia"/>
                <w:sz w:val="21"/>
                <w:szCs w:val="21"/>
              </w:rPr>
              <w:t>x</w:t>
            </w:r>
          </w:p>
        </w:tc>
        <w:tc>
          <w:tcPr>
            <w:tcW w:w="1230" w:type="dxa"/>
            <w:noWrap w:val="0"/>
            <w:vAlign w:val="center"/>
          </w:tcPr>
          <w:p>
            <w:pPr>
              <w:pStyle w:val="30"/>
              <w:bidi w:val="0"/>
              <w:rPr>
                <w:rFonts w:hint="eastAsia"/>
                <w:sz w:val="21"/>
                <w:szCs w:val="21"/>
              </w:rPr>
            </w:pPr>
            <w:r>
              <w:rPr>
                <w:rFonts w:hint="eastAsia"/>
                <w:sz w:val="21"/>
                <w:szCs w:val="21"/>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429" w:type="dxa"/>
            <w:noWrap w:val="0"/>
            <w:vAlign w:val="center"/>
          </w:tcPr>
          <w:p>
            <w:pPr>
              <w:pStyle w:val="30"/>
              <w:bidi w:val="0"/>
              <w:rPr>
                <w:rFonts w:hint="eastAsia"/>
                <w:sz w:val="21"/>
                <w:szCs w:val="21"/>
              </w:rPr>
            </w:pPr>
            <w:r>
              <w:rPr>
                <w:rFonts w:hint="eastAsia"/>
                <w:sz w:val="21"/>
                <w:szCs w:val="21"/>
              </w:rPr>
              <w:t>黄</w:t>
            </w:r>
          </w:p>
        </w:tc>
        <w:tc>
          <w:tcPr>
            <w:tcW w:w="1091" w:type="dxa"/>
            <w:noWrap w:val="0"/>
            <w:vAlign w:val="center"/>
          </w:tcPr>
          <w:p>
            <w:pPr>
              <w:pStyle w:val="30"/>
              <w:bidi w:val="0"/>
              <w:rPr>
                <w:rFonts w:hint="eastAsia"/>
                <w:sz w:val="21"/>
                <w:szCs w:val="21"/>
              </w:rPr>
            </w:pPr>
            <w:r>
              <w:rPr>
                <w:rFonts w:hint="eastAsia"/>
                <w:sz w:val="21"/>
                <w:szCs w:val="21"/>
              </w:rPr>
              <w:t>0.513</w:t>
            </w:r>
          </w:p>
        </w:tc>
        <w:tc>
          <w:tcPr>
            <w:tcW w:w="1093" w:type="dxa"/>
            <w:noWrap w:val="0"/>
            <w:vAlign w:val="center"/>
          </w:tcPr>
          <w:p>
            <w:pPr>
              <w:pStyle w:val="30"/>
              <w:bidi w:val="0"/>
              <w:rPr>
                <w:rFonts w:hint="eastAsia"/>
                <w:sz w:val="21"/>
                <w:szCs w:val="21"/>
              </w:rPr>
            </w:pPr>
            <w:r>
              <w:rPr>
                <w:rFonts w:hint="eastAsia"/>
                <w:sz w:val="21"/>
                <w:szCs w:val="21"/>
              </w:rPr>
              <w:t>0.487</w:t>
            </w:r>
          </w:p>
        </w:tc>
        <w:tc>
          <w:tcPr>
            <w:tcW w:w="1091" w:type="dxa"/>
            <w:noWrap w:val="0"/>
            <w:vAlign w:val="center"/>
          </w:tcPr>
          <w:p>
            <w:pPr>
              <w:pStyle w:val="30"/>
              <w:bidi w:val="0"/>
              <w:rPr>
                <w:rFonts w:hint="eastAsia"/>
                <w:sz w:val="21"/>
                <w:szCs w:val="21"/>
              </w:rPr>
            </w:pPr>
            <w:r>
              <w:rPr>
                <w:rFonts w:hint="eastAsia"/>
                <w:sz w:val="21"/>
                <w:szCs w:val="21"/>
              </w:rPr>
              <w:t>0.500</w:t>
            </w:r>
          </w:p>
        </w:tc>
        <w:tc>
          <w:tcPr>
            <w:tcW w:w="1092" w:type="dxa"/>
            <w:noWrap w:val="0"/>
            <w:vAlign w:val="center"/>
          </w:tcPr>
          <w:p>
            <w:pPr>
              <w:pStyle w:val="30"/>
              <w:bidi w:val="0"/>
              <w:rPr>
                <w:rFonts w:hint="eastAsia"/>
                <w:sz w:val="21"/>
                <w:szCs w:val="21"/>
              </w:rPr>
            </w:pPr>
            <w:r>
              <w:rPr>
                <w:rFonts w:hint="eastAsia"/>
                <w:sz w:val="21"/>
                <w:szCs w:val="21"/>
              </w:rPr>
              <w:t>0.470</w:t>
            </w:r>
          </w:p>
        </w:tc>
        <w:tc>
          <w:tcPr>
            <w:tcW w:w="1089" w:type="dxa"/>
            <w:noWrap w:val="0"/>
            <w:vAlign w:val="center"/>
          </w:tcPr>
          <w:p>
            <w:pPr>
              <w:pStyle w:val="30"/>
              <w:bidi w:val="0"/>
              <w:rPr>
                <w:rFonts w:hint="eastAsia"/>
                <w:sz w:val="21"/>
                <w:szCs w:val="21"/>
              </w:rPr>
            </w:pPr>
            <w:r>
              <w:rPr>
                <w:rFonts w:hint="eastAsia"/>
                <w:sz w:val="21"/>
                <w:szCs w:val="21"/>
              </w:rPr>
              <w:t>0.545</w:t>
            </w:r>
          </w:p>
        </w:tc>
        <w:tc>
          <w:tcPr>
            <w:tcW w:w="1093" w:type="dxa"/>
            <w:noWrap w:val="0"/>
            <w:vAlign w:val="center"/>
          </w:tcPr>
          <w:p>
            <w:pPr>
              <w:pStyle w:val="30"/>
              <w:bidi w:val="0"/>
              <w:rPr>
                <w:rFonts w:hint="eastAsia"/>
                <w:sz w:val="21"/>
                <w:szCs w:val="21"/>
              </w:rPr>
            </w:pPr>
            <w:r>
              <w:rPr>
                <w:rFonts w:hint="eastAsia"/>
                <w:sz w:val="21"/>
                <w:szCs w:val="21"/>
              </w:rPr>
              <w:t>0.425</w:t>
            </w:r>
          </w:p>
        </w:tc>
        <w:tc>
          <w:tcPr>
            <w:tcW w:w="1091" w:type="dxa"/>
            <w:noWrap w:val="0"/>
            <w:vAlign w:val="center"/>
          </w:tcPr>
          <w:p>
            <w:pPr>
              <w:pStyle w:val="30"/>
              <w:bidi w:val="0"/>
              <w:rPr>
                <w:rFonts w:hint="eastAsia"/>
                <w:sz w:val="21"/>
                <w:szCs w:val="21"/>
              </w:rPr>
            </w:pPr>
            <w:r>
              <w:rPr>
                <w:rFonts w:hint="eastAsia"/>
                <w:sz w:val="21"/>
                <w:szCs w:val="21"/>
              </w:rPr>
              <w:t>0.572</w:t>
            </w:r>
          </w:p>
        </w:tc>
        <w:tc>
          <w:tcPr>
            <w:tcW w:w="1230" w:type="dxa"/>
            <w:noWrap w:val="0"/>
            <w:vAlign w:val="center"/>
          </w:tcPr>
          <w:p>
            <w:pPr>
              <w:pStyle w:val="30"/>
              <w:bidi w:val="0"/>
              <w:rPr>
                <w:rFonts w:hint="eastAsia"/>
                <w:sz w:val="21"/>
                <w:szCs w:val="21"/>
              </w:rPr>
            </w:pPr>
            <w:r>
              <w:rPr>
                <w:rFonts w:hint="eastAsia"/>
                <w:sz w:val="21"/>
                <w:szCs w:val="21"/>
              </w:rPr>
              <w:t>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trPr>
        <w:tc>
          <w:tcPr>
            <w:tcW w:w="1429" w:type="dxa"/>
            <w:noWrap w:val="0"/>
            <w:vAlign w:val="center"/>
          </w:tcPr>
          <w:p>
            <w:pPr>
              <w:pStyle w:val="30"/>
              <w:bidi w:val="0"/>
              <w:rPr>
                <w:rFonts w:hint="eastAsia"/>
                <w:sz w:val="21"/>
                <w:szCs w:val="21"/>
              </w:rPr>
            </w:pPr>
            <w:r>
              <w:rPr>
                <w:rFonts w:hint="eastAsia"/>
                <w:sz w:val="21"/>
                <w:szCs w:val="21"/>
              </w:rPr>
              <w:t>橙</w:t>
            </w:r>
          </w:p>
        </w:tc>
        <w:tc>
          <w:tcPr>
            <w:tcW w:w="1091" w:type="dxa"/>
            <w:noWrap w:val="0"/>
            <w:vAlign w:val="center"/>
          </w:tcPr>
          <w:p>
            <w:pPr>
              <w:pStyle w:val="30"/>
              <w:bidi w:val="0"/>
              <w:rPr>
                <w:rFonts w:hint="eastAsia"/>
                <w:sz w:val="21"/>
                <w:szCs w:val="21"/>
              </w:rPr>
            </w:pPr>
            <w:r>
              <w:rPr>
                <w:rFonts w:hint="eastAsia"/>
                <w:sz w:val="21"/>
                <w:szCs w:val="21"/>
              </w:rPr>
              <w:t>0.595</w:t>
            </w:r>
          </w:p>
        </w:tc>
        <w:tc>
          <w:tcPr>
            <w:tcW w:w="1093" w:type="dxa"/>
            <w:noWrap w:val="0"/>
            <w:vAlign w:val="center"/>
          </w:tcPr>
          <w:p>
            <w:pPr>
              <w:pStyle w:val="30"/>
              <w:bidi w:val="0"/>
              <w:rPr>
                <w:rFonts w:hint="eastAsia"/>
                <w:sz w:val="21"/>
                <w:szCs w:val="21"/>
              </w:rPr>
            </w:pPr>
            <w:r>
              <w:rPr>
                <w:rFonts w:hint="eastAsia"/>
                <w:sz w:val="21"/>
                <w:szCs w:val="21"/>
              </w:rPr>
              <w:t>0.405</w:t>
            </w:r>
          </w:p>
        </w:tc>
        <w:tc>
          <w:tcPr>
            <w:tcW w:w="1091" w:type="dxa"/>
            <w:noWrap w:val="0"/>
            <w:vAlign w:val="center"/>
          </w:tcPr>
          <w:p>
            <w:pPr>
              <w:pStyle w:val="30"/>
              <w:bidi w:val="0"/>
              <w:rPr>
                <w:rFonts w:hint="eastAsia"/>
                <w:sz w:val="21"/>
                <w:szCs w:val="21"/>
              </w:rPr>
            </w:pPr>
            <w:r>
              <w:rPr>
                <w:rFonts w:hint="eastAsia"/>
                <w:sz w:val="21"/>
                <w:szCs w:val="21"/>
              </w:rPr>
              <w:t>0.565</w:t>
            </w:r>
          </w:p>
        </w:tc>
        <w:tc>
          <w:tcPr>
            <w:tcW w:w="1092" w:type="dxa"/>
            <w:noWrap w:val="0"/>
            <w:vAlign w:val="center"/>
          </w:tcPr>
          <w:p>
            <w:pPr>
              <w:pStyle w:val="30"/>
              <w:bidi w:val="0"/>
              <w:rPr>
                <w:rFonts w:hint="eastAsia"/>
                <w:sz w:val="21"/>
                <w:szCs w:val="21"/>
              </w:rPr>
            </w:pPr>
            <w:r>
              <w:rPr>
                <w:rFonts w:hint="eastAsia"/>
                <w:sz w:val="21"/>
                <w:szCs w:val="21"/>
              </w:rPr>
              <w:t>0.405</w:t>
            </w:r>
          </w:p>
        </w:tc>
        <w:tc>
          <w:tcPr>
            <w:tcW w:w="1089" w:type="dxa"/>
            <w:noWrap w:val="0"/>
            <w:vAlign w:val="center"/>
          </w:tcPr>
          <w:p>
            <w:pPr>
              <w:pStyle w:val="30"/>
              <w:bidi w:val="0"/>
              <w:rPr>
                <w:rFonts w:hint="eastAsia"/>
                <w:sz w:val="21"/>
                <w:szCs w:val="21"/>
              </w:rPr>
            </w:pPr>
            <w:r>
              <w:rPr>
                <w:rFonts w:hint="eastAsia"/>
                <w:sz w:val="21"/>
                <w:szCs w:val="21"/>
              </w:rPr>
              <w:t>0.613</w:t>
            </w:r>
          </w:p>
        </w:tc>
        <w:tc>
          <w:tcPr>
            <w:tcW w:w="1093" w:type="dxa"/>
            <w:noWrap w:val="0"/>
            <w:vAlign w:val="center"/>
          </w:tcPr>
          <w:p>
            <w:pPr>
              <w:pStyle w:val="30"/>
              <w:bidi w:val="0"/>
              <w:rPr>
                <w:rFonts w:hint="eastAsia"/>
                <w:sz w:val="21"/>
                <w:szCs w:val="21"/>
              </w:rPr>
            </w:pPr>
            <w:r>
              <w:rPr>
                <w:rFonts w:hint="eastAsia"/>
                <w:sz w:val="21"/>
                <w:szCs w:val="21"/>
              </w:rPr>
              <w:t>0.355</w:t>
            </w:r>
          </w:p>
        </w:tc>
        <w:tc>
          <w:tcPr>
            <w:tcW w:w="1091" w:type="dxa"/>
            <w:noWrap w:val="0"/>
            <w:vAlign w:val="center"/>
          </w:tcPr>
          <w:p>
            <w:pPr>
              <w:pStyle w:val="30"/>
              <w:bidi w:val="0"/>
              <w:rPr>
                <w:rFonts w:hint="eastAsia"/>
                <w:sz w:val="21"/>
                <w:szCs w:val="21"/>
              </w:rPr>
            </w:pPr>
            <w:r>
              <w:rPr>
                <w:rFonts w:hint="eastAsia"/>
                <w:sz w:val="21"/>
                <w:szCs w:val="21"/>
              </w:rPr>
              <w:t>0.643</w:t>
            </w:r>
          </w:p>
        </w:tc>
        <w:tc>
          <w:tcPr>
            <w:tcW w:w="1230" w:type="dxa"/>
            <w:noWrap w:val="0"/>
            <w:vAlign w:val="center"/>
          </w:tcPr>
          <w:p>
            <w:pPr>
              <w:pStyle w:val="30"/>
              <w:bidi w:val="0"/>
              <w:rPr>
                <w:rFonts w:hint="eastAsia"/>
                <w:sz w:val="21"/>
                <w:szCs w:val="21"/>
              </w:rPr>
            </w:pPr>
            <w:r>
              <w:rPr>
                <w:rFonts w:hint="eastAsia"/>
                <w:sz w:val="21"/>
                <w:szCs w:val="21"/>
              </w:rPr>
              <w:t>0.355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429" w:type="dxa"/>
            <w:noWrap w:val="0"/>
            <w:vAlign w:val="center"/>
          </w:tcPr>
          <w:p>
            <w:pPr>
              <w:pStyle w:val="30"/>
              <w:bidi w:val="0"/>
              <w:rPr>
                <w:rFonts w:hint="eastAsia"/>
                <w:sz w:val="21"/>
                <w:szCs w:val="21"/>
              </w:rPr>
            </w:pPr>
            <w:r>
              <w:rPr>
                <w:rFonts w:hint="eastAsia"/>
                <w:sz w:val="21"/>
                <w:szCs w:val="21"/>
              </w:rPr>
              <w:t>红</w:t>
            </w:r>
          </w:p>
        </w:tc>
        <w:tc>
          <w:tcPr>
            <w:tcW w:w="1091" w:type="dxa"/>
            <w:noWrap w:val="0"/>
            <w:vAlign w:val="center"/>
          </w:tcPr>
          <w:p>
            <w:pPr>
              <w:pStyle w:val="30"/>
              <w:bidi w:val="0"/>
              <w:rPr>
                <w:rFonts w:hint="eastAsia"/>
                <w:sz w:val="21"/>
                <w:szCs w:val="21"/>
              </w:rPr>
            </w:pPr>
            <w:r>
              <w:rPr>
                <w:rFonts w:hint="eastAsia"/>
                <w:sz w:val="21"/>
                <w:szCs w:val="21"/>
              </w:rPr>
              <w:t>0.650</w:t>
            </w:r>
          </w:p>
        </w:tc>
        <w:tc>
          <w:tcPr>
            <w:tcW w:w="1093" w:type="dxa"/>
            <w:noWrap w:val="0"/>
            <w:vAlign w:val="center"/>
          </w:tcPr>
          <w:p>
            <w:pPr>
              <w:pStyle w:val="30"/>
              <w:bidi w:val="0"/>
              <w:rPr>
                <w:rFonts w:hint="eastAsia"/>
                <w:sz w:val="21"/>
                <w:szCs w:val="21"/>
              </w:rPr>
            </w:pPr>
            <w:r>
              <w:rPr>
                <w:rFonts w:hint="eastAsia"/>
                <w:sz w:val="21"/>
                <w:szCs w:val="21"/>
              </w:rPr>
              <w:t>0.348</w:t>
            </w:r>
          </w:p>
        </w:tc>
        <w:tc>
          <w:tcPr>
            <w:tcW w:w="1091" w:type="dxa"/>
            <w:noWrap w:val="0"/>
            <w:vAlign w:val="center"/>
          </w:tcPr>
          <w:p>
            <w:pPr>
              <w:pStyle w:val="30"/>
              <w:bidi w:val="0"/>
              <w:rPr>
                <w:rFonts w:hint="eastAsia"/>
                <w:sz w:val="21"/>
                <w:szCs w:val="21"/>
              </w:rPr>
            </w:pPr>
            <w:r>
              <w:rPr>
                <w:rFonts w:hint="eastAsia"/>
                <w:sz w:val="21"/>
                <w:szCs w:val="21"/>
              </w:rPr>
              <w:t>0.620</w:t>
            </w:r>
          </w:p>
        </w:tc>
        <w:tc>
          <w:tcPr>
            <w:tcW w:w="1092" w:type="dxa"/>
            <w:noWrap w:val="0"/>
            <w:vAlign w:val="center"/>
          </w:tcPr>
          <w:p>
            <w:pPr>
              <w:pStyle w:val="30"/>
              <w:bidi w:val="0"/>
              <w:rPr>
                <w:rFonts w:hint="eastAsia"/>
                <w:sz w:val="21"/>
                <w:szCs w:val="21"/>
              </w:rPr>
            </w:pPr>
            <w:r>
              <w:rPr>
                <w:rFonts w:hint="eastAsia"/>
                <w:sz w:val="21"/>
                <w:szCs w:val="21"/>
              </w:rPr>
              <w:t>0.348</w:t>
            </w:r>
          </w:p>
        </w:tc>
        <w:tc>
          <w:tcPr>
            <w:tcW w:w="1089" w:type="dxa"/>
            <w:noWrap w:val="0"/>
            <w:vAlign w:val="center"/>
          </w:tcPr>
          <w:p>
            <w:pPr>
              <w:pStyle w:val="30"/>
              <w:bidi w:val="0"/>
              <w:rPr>
                <w:rFonts w:hint="eastAsia"/>
                <w:sz w:val="21"/>
                <w:szCs w:val="21"/>
              </w:rPr>
            </w:pPr>
            <w:r>
              <w:rPr>
                <w:rFonts w:hint="eastAsia"/>
                <w:sz w:val="21"/>
                <w:szCs w:val="21"/>
              </w:rPr>
              <w:t>0.712</w:t>
            </w:r>
          </w:p>
        </w:tc>
        <w:tc>
          <w:tcPr>
            <w:tcW w:w="1093" w:type="dxa"/>
            <w:noWrap w:val="0"/>
            <w:vAlign w:val="center"/>
          </w:tcPr>
          <w:p>
            <w:pPr>
              <w:pStyle w:val="30"/>
              <w:bidi w:val="0"/>
              <w:rPr>
                <w:rFonts w:hint="eastAsia"/>
                <w:sz w:val="21"/>
                <w:szCs w:val="21"/>
              </w:rPr>
            </w:pPr>
            <w:r>
              <w:rPr>
                <w:rFonts w:hint="eastAsia"/>
                <w:sz w:val="21"/>
                <w:szCs w:val="21"/>
              </w:rPr>
              <w:t>0.255</w:t>
            </w:r>
          </w:p>
        </w:tc>
        <w:tc>
          <w:tcPr>
            <w:tcW w:w="1091" w:type="dxa"/>
            <w:noWrap w:val="0"/>
            <w:vAlign w:val="center"/>
          </w:tcPr>
          <w:p>
            <w:pPr>
              <w:pStyle w:val="30"/>
              <w:bidi w:val="0"/>
              <w:rPr>
                <w:rFonts w:hint="eastAsia"/>
                <w:sz w:val="21"/>
                <w:szCs w:val="21"/>
              </w:rPr>
            </w:pPr>
            <w:r>
              <w:rPr>
                <w:rFonts w:hint="eastAsia"/>
                <w:sz w:val="21"/>
                <w:szCs w:val="21"/>
              </w:rPr>
              <w:t>0.735</w:t>
            </w:r>
          </w:p>
        </w:tc>
        <w:tc>
          <w:tcPr>
            <w:tcW w:w="1230" w:type="dxa"/>
            <w:noWrap w:val="0"/>
            <w:vAlign w:val="center"/>
          </w:tcPr>
          <w:p>
            <w:pPr>
              <w:pStyle w:val="30"/>
              <w:bidi w:val="0"/>
              <w:rPr>
                <w:rFonts w:hint="eastAsia"/>
                <w:sz w:val="21"/>
                <w:szCs w:val="21"/>
              </w:rPr>
            </w:pPr>
            <w:r>
              <w:rPr>
                <w:rFonts w:hint="eastAsia"/>
                <w:sz w:val="21"/>
                <w:szCs w:val="21"/>
              </w:rPr>
              <w:t>0.265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429" w:type="dxa"/>
            <w:noWrap w:val="0"/>
            <w:vAlign w:val="center"/>
          </w:tcPr>
          <w:p>
            <w:pPr>
              <w:pStyle w:val="30"/>
              <w:bidi w:val="0"/>
              <w:rPr>
                <w:rFonts w:hint="eastAsia"/>
                <w:sz w:val="21"/>
                <w:szCs w:val="21"/>
              </w:rPr>
            </w:pPr>
            <w:r>
              <w:rPr>
                <w:rFonts w:hint="eastAsia"/>
                <w:sz w:val="21"/>
                <w:szCs w:val="21"/>
              </w:rPr>
              <w:t>绿</w:t>
            </w:r>
          </w:p>
        </w:tc>
        <w:tc>
          <w:tcPr>
            <w:tcW w:w="1091" w:type="dxa"/>
            <w:noWrap w:val="0"/>
            <w:vAlign w:val="center"/>
          </w:tcPr>
          <w:p>
            <w:pPr>
              <w:pStyle w:val="30"/>
              <w:bidi w:val="0"/>
              <w:rPr>
                <w:rFonts w:hint="eastAsia"/>
                <w:sz w:val="21"/>
                <w:szCs w:val="21"/>
              </w:rPr>
            </w:pPr>
            <w:r>
              <w:rPr>
                <w:rFonts w:hint="eastAsia"/>
                <w:sz w:val="21"/>
                <w:szCs w:val="21"/>
              </w:rPr>
              <w:t>0.007</w:t>
            </w:r>
          </w:p>
        </w:tc>
        <w:tc>
          <w:tcPr>
            <w:tcW w:w="1093" w:type="dxa"/>
            <w:noWrap w:val="0"/>
            <w:vAlign w:val="center"/>
          </w:tcPr>
          <w:p>
            <w:pPr>
              <w:pStyle w:val="30"/>
              <w:bidi w:val="0"/>
              <w:rPr>
                <w:rFonts w:hint="eastAsia"/>
                <w:sz w:val="21"/>
                <w:szCs w:val="21"/>
              </w:rPr>
            </w:pPr>
            <w:r>
              <w:rPr>
                <w:rFonts w:hint="eastAsia"/>
                <w:sz w:val="21"/>
                <w:szCs w:val="21"/>
              </w:rPr>
              <w:t>0.570</w:t>
            </w:r>
          </w:p>
        </w:tc>
        <w:tc>
          <w:tcPr>
            <w:tcW w:w="1091" w:type="dxa"/>
            <w:noWrap w:val="0"/>
            <w:vAlign w:val="center"/>
          </w:tcPr>
          <w:p>
            <w:pPr>
              <w:pStyle w:val="30"/>
              <w:bidi w:val="0"/>
              <w:rPr>
                <w:rFonts w:hint="eastAsia"/>
                <w:sz w:val="21"/>
                <w:szCs w:val="21"/>
              </w:rPr>
            </w:pPr>
            <w:r>
              <w:rPr>
                <w:rFonts w:hint="eastAsia"/>
                <w:sz w:val="21"/>
                <w:szCs w:val="21"/>
              </w:rPr>
              <w:t>0.200</w:t>
            </w:r>
          </w:p>
        </w:tc>
        <w:tc>
          <w:tcPr>
            <w:tcW w:w="1092" w:type="dxa"/>
            <w:noWrap w:val="0"/>
            <w:vAlign w:val="center"/>
          </w:tcPr>
          <w:p>
            <w:pPr>
              <w:pStyle w:val="30"/>
              <w:bidi w:val="0"/>
              <w:rPr>
                <w:rFonts w:hint="eastAsia"/>
                <w:sz w:val="21"/>
                <w:szCs w:val="21"/>
              </w:rPr>
            </w:pPr>
            <w:r>
              <w:rPr>
                <w:rFonts w:hint="eastAsia"/>
                <w:sz w:val="21"/>
                <w:szCs w:val="21"/>
              </w:rPr>
              <w:t>0.500</w:t>
            </w:r>
          </w:p>
        </w:tc>
        <w:tc>
          <w:tcPr>
            <w:tcW w:w="1089" w:type="dxa"/>
            <w:noWrap w:val="0"/>
            <w:vAlign w:val="center"/>
          </w:tcPr>
          <w:p>
            <w:pPr>
              <w:pStyle w:val="30"/>
              <w:bidi w:val="0"/>
              <w:rPr>
                <w:rFonts w:hint="eastAsia"/>
                <w:sz w:val="21"/>
                <w:szCs w:val="21"/>
              </w:rPr>
            </w:pPr>
            <w:r>
              <w:rPr>
                <w:rFonts w:hint="eastAsia"/>
                <w:sz w:val="21"/>
                <w:szCs w:val="21"/>
              </w:rPr>
              <w:t>0.322</w:t>
            </w:r>
          </w:p>
        </w:tc>
        <w:tc>
          <w:tcPr>
            <w:tcW w:w="1093" w:type="dxa"/>
            <w:noWrap w:val="0"/>
            <w:vAlign w:val="center"/>
          </w:tcPr>
          <w:p>
            <w:pPr>
              <w:pStyle w:val="30"/>
              <w:bidi w:val="0"/>
              <w:rPr>
                <w:rFonts w:hint="eastAsia"/>
                <w:sz w:val="21"/>
                <w:szCs w:val="21"/>
              </w:rPr>
            </w:pPr>
            <w:r>
              <w:rPr>
                <w:rFonts w:hint="eastAsia"/>
                <w:sz w:val="21"/>
                <w:szCs w:val="21"/>
              </w:rPr>
              <w:t>0.590</w:t>
            </w:r>
          </w:p>
        </w:tc>
        <w:tc>
          <w:tcPr>
            <w:tcW w:w="1091" w:type="dxa"/>
            <w:noWrap w:val="0"/>
            <w:vAlign w:val="center"/>
          </w:tcPr>
          <w:p>
            <w:pPr>
              <w:pStyle w:val="30"/>
              <w:bidi w:val="0"/>
              <w:rPr>
                <w:rFonts w:hint="eastAsia"/>
                <w:sz w:val="21"/>
                <w:szCs w:val="21"/>
              </w:rPr>
            </w:pPr>
            <w:r>
              <w:rPr>
                <w:rFonts w:hint="eastAsia"/>
                <w:sz w:val="21"/>
                <w:szCs w:val="21"/>
              </w:rPr>
              <w:t>0.193</w:t>
            </w:r>
          </w:p>
        </w:tc>
        <w:tc>
          <w:tcPr>
            <w:tcW w:w="1230" w:type="dxa"/>
            <w:noWrap w:val="0"/>
            <w:vAlign w:val="center"/>
          </w:tcPr>
          <w:p>
            <w:pPr>
              <w:pStyle w:val="30"/>
              <w:bidi w:val="0"/>
              <w:rPr>
                <w:rFonts w:hint="eastAsia"/>
                <w:sz w:val="21"/>
                <w:szCs w:val="21"/>
              </w:rPr>
            </w:pPr>
            <w:r>
              <w:rPr>
                <w:rFonts w:hint="eastAsia"/>
                <w:sz w:val="21"/>
                <w:szCs w:val="21"/>
              </w:rPr>
              <w:t>0.782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trPr>
        <w:tc>
          <w:tcPr>
            <w:tcW w:w="1429" w:type="dxa"/>
            <w:noWrap w:val="0"/>
            <w:vAlign w:val="center"/>
          </w:tcPr>
          <w:p>
            <w:pPr>
              <w:pStyle w:val="30"/>
              <w:bidi w:val="0"/>
              <w:rPr>
                <w:rFonts w:hint="eastAsia"/>
                <w:sz w:val="21"/>
                <w:szCs w:val="21"/>
              </w:rPr>
            </w:pPr>
            <w:r>
              <w:rPr>
                <w:rFonts w:hint="eastAsia"/>
                <w:sz w:val="21"/>
                <w:szCs w:val="21"/>
              </w:rPr>
              <w:t>蓝</w:t>
            </w:r>
          </w:p>
        </w:tc>
        <w:tc>
          <w:tcPr>
            <w:tcW w:w="1091" w:type="dxa"/>
            <w:noWrap w:val="0"/>
            <w:vAlign w:val="center"/>
          </w:tcPr>
          <w:p>
            <w:pPr>
              <w:pStyle w:val="30"/>
              <w:bidi w:val="0"/>
              <w:rPr>
                <w:rFonts w:hint="eastAsia"/>
                <w:sz w:val="21"/>
                <w:szCs w:val="21"/>
              </w:rPr>
            </w:pPr>
            <w:r>
              <w:rPr>
                <w:rFonts w:hint="eastAsia"/>
                <w:sz w:val="21"/>
                <w:szCs w:val="21"/>
              </w:rPr>
              <w:t>0.033</w:t>
            </w:r>
          </w:p>
        </w:tc>
        <w:tc>
          <w:tcPr>
            <w:tcW w:w="1093" w:type="dxa"/>
            <w:noWrap w:val="0"/>
            <w:vAlign w:val="center"/>
          </w:tcPr>
          <w:p>
            <w:pPr>
              <w:pStyle w:val="30"/>
              <w:bidi w:val="0"/>
              <w:rPr>
                <w:rFonts w:hint="eastAsia"/>
                <w:sz w:val="21"/>
                <w:szCs w:val="21"/>
              </w:rPr>
            </w:pPr>
            <w:r>
              <w:rPr>
                <w:rFonts w:hint="eastAsia"/>
                <w:sz w:val="21"/>
                <w:szCs w:val="21"/>
              </w:rPr>
              <w:t>0.370</w:t>
            </w:r>
          </w:p>
        </w:tc>
        <w:tc>
          <w:tcPr>
            <w:tcW w:w="1091" w:type="dxa"/>
            <w:noWrap w:val="0"/>
            <w:vAlign w:val="center"/>
          </w:tcPr>
          <w:p>
            <w:pPr>
              <w:pStyle w:val="30"/>
              <w:bidi w:val="0"/>
              <w:rPr>
                <w:rFonts w:hint="eastAsia"/>
                <w:sz w:val="21"/>
                <w:szCs w:val="21"/>
              </w:rPr>
            </w:pPr>
            <w:r>
              <w:rPr>
                <w:rFonts w:hint="eastAsia"/>
                <w:sz w:val="21"/>
                <w:szCs w:val="21"/>
              </w:rPr>
              <w:t>0.180</w:t>
            </w:r>
          </w:p>
        </w:tc>
        <w:tc>
          <w:tcPr>
            <w:tcW w:w="1092" w:type="dxa"/>
            <w:noWrap w:val="0"/>
            <w:vAlign w:val="center"/>
          </w:tcPr>
          <w:p>
            <w:pPr>
              <w:pStyle w:val="30"/>
              <w:bidi w:val="0"/>
              <w:rPr>
                <w:rFonts w:hint="eastAsia"/>
                <w:sz w:val="21"/>
                <w:szCs w:val="21"/>
              </w:rPr>
            </w:pPr>
            <w:r>
              <w:rPr>
                <w:rFonts w:hint="eastAsia"/>
                <w:sz w:val="21"/>
                <w:szCs w:val="21"/>
              </w:rPr>
              <w:t>0.370</w:t>
            </w:r>
          </w:p>
        </w:tc>
        <w:tc>
          <w:tcPr>
            <w:tcW w:w="1089" w:type="dxa"/>
            <w:noWrap w:val="0"/>
            <w:vAlign w:val="center"/>
          </w:tcPr>
          <w:p>
            <w:pPr>
              <w:pStyle w:val="30"/>
              <w:bidi w:val="0"/>
              <w:rPr>
                <w:rFonts w:hint="eastAsia"/>
                <w:sz w:val="21"/>
                <w:szCs w:val="21"/>
              </w:rPr>
            </w:pPr>
            <w:r>
              <w:rPr>
                <w:rFonts w:hint="eastAsia"/>
                <w:sz w:val="21"/>
                <w:szCs w:val="21"/>
              </w:rPr>
              <w:t>0.230</w:t>
            </w:r>
          </w:p>
        </w:tc>
        <w:tc>
          <w:tcPr>
            <w:tcW w:w="1093" w:type="dxa"/>
            <w:noWrap w:val="0"/>
            <w:vAlign w:val="center"/>
          </w:tcPr>
          <w:p>
            <w:pPr>
              <w:pStyle w:val="30"/>
              <w:bidi w:val="0"/>
              <w:rPr>
                <w:rFonts w:hint="eastAsia"/>
                <w:sz w:val="21"/>
                <w:szCs w:val="21"/>
              </w:rPr>
            </w:pPr>
            <w:r>
              <w:rPr>
                <w:rFonts w:hint="eastAsia"/>
                <w:sz w:val="21"/>
                <w:szCs w:val="21"/>
              </w:rPr>
              <w:t>0.240</w:t>
            </w:r>
          </w:p>
        </w:tc>
        <w:tc>
          <w:tcPr>
            <w:tcW w:w="1091" w:type="dxa"/>
            <w:noWrap w:val="0"/>
            <w:vAlign w:val="center"/>
          </w:tcPr>
          <w:p>
            <w:pPr>
              <w:pStyle w:val="30"/>
              <w:bidi w:val="0"/>
              <w:rPr>
                <w:rFonts w:hint="eastAsia"/>
                <w:sz w:val="21"/>
                <w:szCs w:val="21"/>
              </w:rPr>
            </w:pPr>
            <w:r>
              <w:rPr>
                <w:rFonts w:hint="eastAsia"/>
                <w:sz w:val="21"/>
                <w:szCs w:val="21"/>
              </w:rPr>
              <w:t>0.091</w:t>
            </w:r>
          </w:p>
        </w:tc>
        <w:tc>
          <w:tcPr>
            <w:tcW w:w="1230" w:type="dxa"/>
            <w:noWrap w:val="0"/>
            <w:vAlign w:val="center"/>
          </w:tcPr>
          <w:p>
            <w:pPr>
              <w:pStyle w:val="30"/>
              <w:bidi w:val="0"/>
              <w:rPr>
                <w:rFonts w:hint="eastAsia"/>
                <w:sz w:val="21"/>
                <w:szCs w:val="21"/>
              </w:rPr>
            </w:pPr>
            <w:r>
              <w:rPr>
                <w:rFonts w:hint="eastAsia"/>
                <w:sz w:val="21"/>
                <w:szCs w:val="21"/>
              </w:rPr>
              <w:t>0.133</w:t>
            </w:r>
          </w:p>
        </w:tc>
      </w:tr>
    </w:tbl>
    <w:p>
      <w:pPr>
        <w:pStyle w:val="12"/>
        <w:kinsoku w:val="0"/>
        <w:overflowPunct w:val="0"/>
        <w:spacing w:line="276" w:lineRule="exact"/>
        <w:ind w:left="583"/>
        <w:rPr>
          <w:rFonts w:hint="eastAsia"/>
          <w:sz w:val="24"/>
        </w:rPr>
      </w:pPr>
      <w:r>
        <w:rPr>
          <w:rFonts w:hint="eastAsia"/>
          <w:sz w:val="24"/>
        </w:rPr>
        <w:t>注：对白色和灰色的夜间色不做要求。</w:t>
      </w:r>
    </w:p>
    <w:p>
      <w:pPr>
        <w:spacing w:line="360" w:lineRule="auto"/>
        <w:ind w:firstLine="480" w:firstLineChars="200"/>
        <w:rPr>
          <w:rFonts w:hint="eastAsia" w:ascii="宋体" w:hAnsi="宋体"/>
          <w:sz w:val="24"/>
          <w:szCs w:val="24"/>
        </w:rPr>
      </w:pPr>
      <w:r>
        <w:rPr>
          <w:rFonts w:hint="eastAsia" w:ascii="宋体" w:hAnsi="宋体"/>
          <w:sz w:val="24"/>
          <w:szCs w:val="24"/>
        </w:rPr>
        <w:t>逆反射系数：</w:t>
      </w:r>
    </w:p>
    <w:tbl>
      <w:tblPr>
        <w:tblStyle w:val="20"/>
        <w:tblW w:w="10358" w:type="dxa"/>
        <w:tblInd w:w="198" w:type="dxa"/>
        <w:tblLayout w:type="fixed"/>
        <w:tblCellMar>
          <w:top w:w="0" w:type="dxa"/>
          <w:left w:w="108" w:type="dxa"/>
          <w:bottom w:w="0" w:type="dxa"/>
          <w:right w:w="108" w:type="dxa"/>
        </w:tblCellMar>
      </w:tblPr>
      <w:tblGrid>
        <w:gridCol w:w="1160"/>
        <w:gridCol w:w="972"/>
        <w:gridCol w:w="1163"/>
        <w:gridCol w:w="1163"/>
        <w:gridCol w:w="1166"/>
        <w:gridCol w:w="1163"/>
        <w:gridCol w:w="1163"/>
        <w:gridCol w:w="1166"/>
        <w:gridCol w:w="1242"/>
      </w:tblGrid>
      <w:tr>
        <w:tblPrEx>
          <w:tblCellMar>
            <w:top w:w="0" w:type="dxa"/>
            <w:left w:w="108" w:type="dxa"/>
            <w:bottom w:w="0" w:type="dxa"/>
            <w:right w:w="108" w:type="dxa"/>
          </w:tblCellMar>
        </w:tblPrEx>
        <w:trPr>
          <w:trHeight w:val="527"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观测角</w:t>
            </w:r>
          </w:p>
        </w:tc>
        <w:tc>
          <w:tcPr>
            <w:tcW w:w="972"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入射角</w:t>
            </w:r>
          </w:p>
        </w:tc>
        <w:tc>
          <w:tcPr>
            <w:tcW w:w="8226" w:type="dxa"/>
            <w:gridSpan w:val="7"/>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最小逆反射系数 RA/(cd·lx-1·m-2)</w:t>
            </w:r>
          </w:p>
        </w:tc>
      </w:tr>
      <w:tr>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972"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白色</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黄色</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橙色</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红色</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绿色</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蓝色</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棕色</w:t>
            </w:r>
          </w:p>
        </w:tc>
      </w:tr>
      <w:tr>
        <w:tblPrEx>
          <w:tblCellMar>
            <w:top w:w="0" w:type="dxa"/>
            <w:left w:w="108" w:type="dxa"/>
            <w:bottom w:w="0" w:type="dxa"/>
            <w:right w:w="108" w:type="dxa"/>
          </w:tblCellMar>
        </w:tblPrEx>
        <w:trPr>
          <w:trHeight w:val="502"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p>
            <w:pPr>
              <w:pStyle w:val="30"/>
              <w:bidi w:val="0"/>
              <w:rPr>
                <w:rFonts w:hint="eastAsia"/>
                <w:sz w:val="21"/>
                <w:szCs w:val="21"/>
              </w:rPr>
            </w:pPr>
            <w:r>
              <w:rPr>
                <w:rFonts w:hint="eastAsia"/>
                <w:sz w:val="21"/>
                <w:szCs w:val="21"/>
              </w:rPr>
              <w:t>0.2°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-4°</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140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100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60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5.0</w:t>
            </w:r>
          </w:p>
        </w:tc>
      </w:tr>
      <w:tr>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110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80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41</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22</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8.0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3.5</w:t>
            </w:r>
          </w:p>
        </w:tc>
      </w:tr>
      <w:tr>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60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36</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12</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4.0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2.0</w:t>
            </w:r>
          </w:p>
        </w:tc>
      </w:tr>
      <w:tr>
        <w:tblPrEx>
          <w:tblCellMar>
            <w:top w:w="0" w:type="dxa"/>
            <w:left w:w="108" w:type="dxa"/>
            <w:bottom w:w="0" w:type="dxa"/>
            <w:right w:w="108" w:type="dxa"/>
          </w:tblCellMar>
        </w:tblPrEx>
        <w:trPr>
          <w:trHeight w:val="502"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p>
            <w:pPr>
              <w:pStyle w:val="30"/>
              <w:bidi w:val="0"/>
              <w:rPr>
                <w:rFonts w:hint="eastAsia"/>
                <w:sz w:val="21"/>
                <w:szCs w:val="21"/>
              </w:rPr>
            </w:pPr>
            <w:r>
              <w:rPr>
                <w:rFonts w:hint="eastAsia"/>
                <w:sz w:val="21"/>
                <w:szCs w:val="21"/>
              </w:rPr>
              <w:t>0.5°</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-4°</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50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33</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9.0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2.0</w:t>
            </w:r>
          </w:p>
        </w:tc>
      </w:tr>
      <w:tr>
        <w:tblPrEx>
          <w:tblCellMar>
            <w:top w:w="0" w:type="dxa"/>
            <w:left w:w="108" w:type="dxa"/>
            <w:bottom w:w="0" w:type="dxa"/>
            <w:right w:w="108" w:type="dxa"/>
          </w:tblCellMar>
        </w:tblPrEx>
        <w:trPr>
          <w:trHeight w:val="498"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39</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27</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16</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8.0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7.5</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2.5</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1.5</w:t>
            </w:r>
          </w:p>
        </w:tc>
      </w:tr>
      <w:tr>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28</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6.0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6.0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1.0</w:t>
            </w:r>
          </w:p>
        </w:tc>
      </w:tr>
      <w:tr>
        <w:tblPrEx>
          <w:tblCellMar>
            <w:top w:w="0" w:type="dxa"/>
            <w:left w:w="108" w:type="dxa"/>
            <w:bottom w:w="0" w:type="dxa"/>
            <w:right w:w="108" w:type="dxa"/>
          </w:tblCellMar>
        </w:tblPrEx>
        <w:trPr>
          <w:trHeight w:val="502"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p>
            <w:pPr>
              <w:pStyle w:val="30"/>
              <w:bidi w:val="0"/>
              <w:rPr>
                <w:rFonts w:hint="eastAsia"/>
                <w:sz w:val="21"/>
                <w:szCs w:val="21"/>
              </w:rPr>
            </w:pPr>
            <w:r>
              <w:rPr>
                <w:rFonts w:hint="eastAsia"/>
                <w:sz w:val="21"/>
                <w:szCs w:val="21"/>
              </w:rPr>
              <w:t>1°</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-4°</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11</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6.0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3.9</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2.5</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0.8</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0.6</w:t>
            </w:r>
          </w:p>
        </w:tc>
      </w:tr>
      <w:tr>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9.0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4.0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1.6</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1.6</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0.6</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0.4</w:t>
            </w:r>
          </w:p>
        </w:tc>
      </w:tr>
      <w:tr>
        <w:tblPrEx>
          <w:tblCellMar>
            <w:top w:w="0" w:type="dxa"/>
            <w:left w:w="108" w:type="dxa"/>
            <w:bottom w:w="0" w:type="dxa"/>
            <w:right w:w="108" w:type="dxa"/>
          </w:tblCellMar>
        </w:tblPrEx>
        <w:trPr>
          <w:trHeight w:val="53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5.0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2.0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1.8</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0.8</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0.8</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0.3</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pPr>
              <w:pStyle w:val="30"/>
              <w:bidi w:val="0"/>
              <w:rPr>
                <w:rFonts w:hint="eastAsia"/>
                <w:sz w:val="21"/>
                <w:szCs w:val="21"/>
              </w:rPr>
            </w:pPr>
            <w:r>
              <w:rPr>
                <w:rFonts w:hint="eastAsia"/>
                <w:sz w:val="21"/>
                <w:szCs w:val="21"/>
              </w:rPr>
              <w:t>0.2</w:t>
            </w:r>
          </w:p>
        </w:tc>
      </w:tr>
    </w:tbl>
    <w:p>
      <w:pPr>
        <w:pStyle w:val="4"/>
        <w:bidi w:val="0"/>
        <w:ind w:left="720" w:leftChars="0" w:hanging="720" w:firstLineChars="0"/>
        <w:rPr>
          <w:rFonts w:hint="eastAsia"/>
        </w:rPr>
      </w:pPr>
      <w:r>
        <w:rPr>
          <w:rFonts w:hint="eastAsia"/>
        </w:rPr>
        <w:t>标志制作</w:t>
      </w:r>
    </w:p>
    <w:p>
      <w:pPr>
        <w:spacing w:line="480" w:lineRule="exact"/>
        <w:ind w:firstLine="480" w:firstLineChars="200"/>
        <w:rPr>
          <w:rFonts w:hint="eastAsia" w:ascii="宋体" w:hAnsi="宋体"/>
          <w:sz w:val="24"/>
        </w:rPr>
      </w:pPr>
      <w:r>
        <w:rPr>
          <w:rFonts w:hint="eastAsia" w:ascii="宋体" w:hAnsi="宋体"/>
          <w:sz w:val="24"/>
        </w:rPr>
        <w:t>交通标志必须按本设计制作，不得任意修改，标志板的制作应符合《公路交通标志板技术条件》（JT/T279-2004）的有关规定，厂商生产的交通标志需经持有CMA标志和国家计量认证单位检测。</w:t>
      </w:r>
    </w:p>
    <w:p>
      <w:pPr>
        <w:numPr>
          <w:ilvl w:val="0"/>
          <w:numId w:val="3"/>
        </w:numPr>
        <w:ind w:firstLine="480"/>
        <w:rPr>
          <w:rFonts w:hint="eastAsia" w:ascii="宋体" w:hAnsi="宋体" w:eastAsia="宋体" w:cs="宋体"/>
          <w:szCs w:val="22"/>
        </w:rPr>
      </w:pPr>
      <w:r>
        <w:rPr>
          <w:rFonts w:hint="eastAsia" w:ascii="宋体" w:hAnsi="宋体" w:eastAsia="宋体" w:cs="宋体"/>
          <w:szCs w:val="22"/>
        </w:rPr>
        <w:t>标志版面的生产，主要有制板、刻膜、贴膜三道工序，其中以标志板连接和贴膜最重要。一般采用焊接、铆接等方法来生产标志板，须保证板的平整度、铆的质量，对接缝应进行严格的处理，板面的铆钉头应打磨平滑；</w:t>
      </w:r>
    </w:p>
    <w:p>
      <w:pPr>
        <w:numPr>
          <w:ilvl w:val="0"/>
          <w:numId w:val="3"/>
        </w:numPr>
        <w:ind w:firstLine="480"/>
        <w:rPr>
          <w:rFonts w:hint="eastAsia" w:ascii="宋体" w:hAnsi="宋体" w:eastAsia="宋体" w:cs="宋体"/>
          <w:szCs w:val="22"/>
        </w:rPr>
      </w:pPr>
      <w:r>
        <w:rPr>
          <w:rFonts w:hint="eastAsia" w:ascii="宋体" w:hAnsi="宋体" w:eastAsia="宋体" w:cs="宋体"/>
          <w:szCs w:val="22"/>
        </w:rPr>
        <w:t>贴反光膜时要求底板平整、清洁、干燥，同时贴膜车间应保持清洁，温度、湿度控制在一定的范围，否则将导致气泡和皱折的产生；</w:t>
      </w:r>
    </w:p>
    <w:p>
      <w:pPr>
        <w:numPr>
          <w:ilvl w:val="0"/>
          <w:numId w:val="3"/>
        </w:numPr>
        <w:ind w:firstLine="480"/>
        <w:rPr>
          <w:rFonts w:hint="eastAsia" w:ascii="宋体" w:hAnsi="宋体" w:eastAsia="宋体" w:cs="宋体"/>
          <w:szCs w:val="22"/>
        </w:rPr>
      </w:pPr>
      <w:r>
        <w:rPr>
          <w:rFonts w:hint="eastAsia" w:ascii="宋体" w:hAnsi="宋体" w:eastAsia="宋体" w:cs="宋体"/>
          <w:szCs w:val="22"/>
        </w:rPr>
        <w:t>标志版面应无裂缝或其他表面缺陷，标志板边缘应整齐、光滑，标志板的外形尺寸偏差为±5mm，若外形尺寸大于1.2m2时其偏差为外形尺寸的±5%。标志板应平整，表面无明显的皱纹、凹痕或变形，每平方米范围内的平整度公差不应大于1.0mm；</w:t>
      </w:r>
    </w:p>
    <w:p>
      <w:pPr>
        <w:numPr>
          <w:ilvl w:val="0"/>
          <w:numId w:val="3"/>
        </w:numPr>
        <w:ind w:firstLine="480"/>
        <w:rPr>
          <w:rFonts w:hint="eastAsia" w:ascii="宋体" w:hAnsi="宋体" w:eastAsia="宋体" w:cs="宋体"/>
          <w:szCs w:val="22"/>
        </w:rPr>
      </w:pPr>
      <w:r>
        <w:rPr>
          <w:rFonts w:hint="eastAsia" w:ascii="宋体" w:hAnsi="宋体" w:eastAsia="宋体" w:cs="宋体"/>
          <w:szCs w:val="22"/>
        </w:rPr>
        <w:t>大型指路标志最多只能分割成四块，并应尽可能减少分割数量，标志板的拼接应采用对接，接缝的最大间隙为1mm。所有接缝应用滑动槽铝加强，滑动槽铝与标志板用铆钉连接，铆钉的最大间距应小于200mm；</w:t>
      </w:r>
    </w:p>
    <w:p>
      <w:pPr>
        <w:numPr>
          <w:ilvl w:val="0"/>
          <w:numId w:val="3"/>
        </w:numPr>
        <w:ind w:firstLine="480"/>
        <w:rPr>
          <w:rFonts w:hint="eastAsia" w:ascii="宋体" w:hAnsi="宋体" w:eastAsia="宋体" w:cs="宋体"/>
          <w:szCs w:val="22"/>
        </w:rPr>
      </w:pPr>
      <w:r>
        <w:rPr>
          <w:rFonts w:hint="eastAsia" w:ascii="宋体" w:hAnsi="宋体" w:eastAsia="宋体" w:cs="宋体"/>
          <w:szCs w:val="22"/>
        </w:rPr>
        <w:t>标志立柱与法兰盘、加劲肋、柱帽等的连接采用焊接的方式。在焊接时应注意焊接质量，并应进行有效的打毛刺和修磨工作，镀锌应保证锌层的厚度及均匀性，所有的立柱及横梁钢管应是整根的，不允许有焊接。</w:t>
      </w:r>
    </w:p>
    <w:p>
      <w:pPr>
        <w:pStyle w:val="3"/>
        <w:bidi w:val="0"/>
        <w:ind w:left="575" w:leftChars="0" w:hanging="575" w:firstLineChars="0"/>
        <w:rPr>
          <w:rFonts w:hint="eastAsia"/>
          <w:lang w:val="en-US" w:eastAsia="zh-CN"/>
        </w:rPr>
      </w:pPr>
      <w:r>
        <w:rPr>
          <w:rFonts w:hint="eastAsia"/>
          <w:lang w:val="en-US" w:eastAsia="zh-CN"/>
        </w:rPr>
        <w:t>交通标线</w:t>
      </w:r>
    </w:p>
    <w:p>
      <w:pPr>
        <w:pStyle w:val="4"/>
        <w:bidi w:val="0"/>
        <w:ind w:left="720" w:leftChars="0" w:hanging="720" w:firstLineChars="0"/>
        <w:rPr>
          <w:rFonts w:hint="eastAsia"/>
        </w:rPr>
      </w:pPr>
      <w:r>
        <w:rPr>
          <w:rFonts w:hint="eastAsia"/>
        </w:rPr>
        <w:t>设计原则</w:t>
      </w:r>
    </w:p>
    <w:p>
      <w:pPr>
        <w:spacing w:line="360" w:lineRule="auto"/>
        <w:ind w:firstLine="480" w:firstLineChars="200"/>
        <w:rPr>
          <w:rFonts w:hint="eastAsia" w:ascii="宋体" w:hAnsi="宋体"/>
          <w:sz w:val="24"/>
          <w:szCs w:val="24"/>
        </w:rPr>
      </w:pPr>
      <w:r>
        <w:rPr>
          <w:rFonts w:hint="eastAsia" w:ascii="宋体" w:hAnsi="宋体"/>
          <w:sz w:val="24"/>
          <w:szCs w:val="24"/>
        </w:rPr>
        <w:t>标线的作用是管制和引导交通，可以和标志配合使用，也可单独使用。标线应能确保车流分道行使，导流交通行驶方向，指引车辆在汇合和分流前驶入合适的车道，加强行驶纪律和秩序，减少事故。标线应保证在白天和晚上都具有视线诱导功能，并应做到车道分界清晰，纵向清楚，轮廓分明。</w:t>
      </w:r>
    </w:p>
    <w:p>
      <w:pPr>
        <w:pStyle w:val="4"/>
        <w:bidi w:val="0"/>
        <w:ind w:left="720" w:leftChars="0" w:hanging="720" w:firstLineChars="0"/>
        <w:rPr>
          <w:rFonts w:hint="eastAsia"/>
        </w:rPr>
      </w:pPr>
      <w:r>
        <w:rPr>
          <w:rFonts w:hint="eastAsia"/>
        </w:rPr>
        <w:t>设计内容</w:t>
      </w:r>
    </w:p>
    <w:p>
      <w:pPr>
        <w:spacing w:line="360" w:lineRule="auto"/>
        <w:ind w:firstLine="480" w:firstLineChars="200"/>
        <w:rPr>
          <w:rFonts w:hint="eastAsia" w:ascii="宋体" w:hAnsi="宋体"/>
          <w:sz w:val="24"/>
          <w:szCs w:val="24"/>
        </w:rPr>
      </w:pPr>
      <w:r>
        <w:rPr>
          <w:rFonts w:hint="eastAsia" w:ascii="宋体" w:hAnsi="宋体"/>
          <w:sz w:val="24"/>
          <w:szCs w:val="24"/>
        </w:rPr>
        <w:t>本项目路面标线形式有车行道边缘线、车道分界线、停止线、人行横道线、导向箭头以及路面文字或图形标记等。</w:t>
      </w:r>
      <w:r>
        <w:rPr>
          <w:sz w:val="24"/>
          <w:szCs w:val="24"/>
        </w:rPr>
        <w:t>标线的颜色、形状、尺寸、间距等按《道路交通标志和标线》（GB5768-2009）选用，后附大样。</w:t>
      </w:r>
    </w:p>
    <w:p>
      <w:pPr>
        <w:numPr>
          <w:ilvl w:val="0"/>
          <w:numId w:val="4"/>
        </w:numPr>
        <w:ind w:firstLine="480"/>
        <w:rPr>
          <w:rFonts w:hint="eastAsia" w:ascii="宋体" w:hAnsi="宋体" w:eastAsia="宋体" w:cs="宋体"/>
          <w:szCs w:val="22"/>
        </w:rPr>
      </w:pPr>
      <w:r>
        <w:rPr>
          <w:rFonts w:hint="eastAsia" w:ascii="宋体" w:hAnsi="宋体" w:eastAsia="宋体" w:cs="宋体"/>
          <w:szCs w:val="22"/>
        </w:rPr>
        <w:t>路面交通标线由虚线、实线等组成，车道分界线为白色虚线，划2m空4m，线宽10cm；车行道边缘线为白色实线，线宽1</w:t>
      </w:r>
      <w:r>
        <w:rPr>
          <w:rFonts w:hint="eastAsia" w:cs="宋体"/>
          <w:szCs w:val="22"/>
          <w:lang w:val="en-US" w:eastAsia="zh-CN"/>
        </w:rPr>
        <w:t>5</w:t>
      </w:r>
      <w:r>
        <w:rPr>
          <w:rFonts w:hint="eastAsia" w:ascii="宋体" w:hAnsi="宋体" w:eastAsia="宋体" w:cs="宋体"/>
          <w:szCs w:val="22"/>
        </w:rPr>
        <w:t>cm；</w:t>
      </w:r>
    </w:p>
    <w:p>
      <w:pPr>
        <w:numPr>
          <w:ilvl w:val="0"/>
          <w:numId w:val="4"/>
        </w:numPr>
        <w:ind w:firstLine="480"/>
        <w:rPr>
          <w:rFonts w:hint="eastAsia" w:ascii="宋体" w:hAnsi="宋体" w:eastAsia="宋体" w:cs="宋体"/>
          <w:szCs w:val="22"/>
        </w:rPr>
      </w:pPr>
      <w:r>
        <w:rPr>
          <w:rFonts w:hint="eastAsia" w:ascii="宋体" w:hAnsi="宋体" w:eastAsia="宋体" w:cs="宋体"/>
          <w:szCs w:val="22"/>
        </w:rPr>
        <w:t>人行横道线线宽40cm，间隔60cm，单根长</w:t>
      </w:r>
      <w:r>
        <w:rPr>
          <w:rFonts w:hint="eastAsia" w:cs="宋体"/>
          <w:szCs w:val="22"/>
          <w:lang w:eastAsia="zh-CN"/>
        </w:rPr>
        <w:t>5m</w:t>
      </w:r>
      <w:r>
        <w:rPr>
          <w:rFonts w:hint="eastAsia" w:ascii="宋体" w:hAnsi="宋体" w:eastAsia="宋体" w:cs="宋体"/>
          <w:szCs w:val="22"/>
        </w:rPr>
        <w:t>；停止线线宽40cm；</w:t>
      </w:r>
    </w:p>
    <w:p>
      <w:pPr>
        <w:numPr>
          <w:ilvl w:val="0"/>
          <w:numId w:val="4"/>
        </w:numPr>
        <w:ind w:firstLine="480"/>
        <w:rPr>
          <w:rFonts w:hint="eastAsia" w:ascii="宋体" w:hAnsi="宋体" w:eastAsia="宋体" w:cs="宋体"/>
          <w:szCs w:val="22"/>
        </w:rPr>
      </w:pPr>
      <w:r>
        <w:rPr>
          <w:rFonts w:hint="eastAsia" w:ascii="宋体" w:hAnsi="宋体" w:eastAsia="宋体" w:cs="宋体"/>
          <w:szCs w:val="22"/>
        </w:rPr>
        <w:t>在交叉口连续设置导向箭头，导向箭头长3m。</w:t>
      </w:r>
    </w:p>
    <w:p>
      <w:pPr>
        <w:numPr>
          <w:ilvl w:val="0"/>
          <w:numId w:val="4"/>
        </w:numPr>
        <w:ind w:firstLine="480"/>
        <w:rPr>
          <w:rFonts w:hint="eastAsia" w:ascii="宋体" w:hAnsi="宋体" w:eastAsia="宋体" w:cs="宋体"/>
          <w:szCs w:val="22"/>
        </w:rPr>
      </w:pPr>
      <w:r>
        <w:rPr>
          <w:rFonts w:hint="eastAsia" w:ascii="宋体" w:hAnsi="宋体" w:eastAsia="宋体" w:cs="宋体"/>
          <w:szCs w:val="22"/>
        </w:rPr>
        <w:t>非机动车道在距离交叉口一定距离设置非机动车图案标记。</w:t>
      </w:r>
    </w:p>
    <w:p>
      <w:pPr>
        <w:numPr>
          <w:ilvl w:val="0"/>
          <w:numId w:val="4"/>
        </w:numPr>
        <w:ind w:firstLine="480"/>
        <w:rPr>
          <w:rFonts w:hint="eastAsia" w:ascii="宋体" w:hAnsi="宋体" w:eastAsia="宋体" w:cs="宋体"/>
          <w:szCs w:val="22"/>
        </w:rPr>
      </w:pPr>
      <w:r>
        <w:rPr>
          <w:rFonts w:hint="eastAsia" w:ascii="宋体" w:hAnsi="宋体" w:eastAsia="宋体" w:cs="宋体"/>
          <w:szCs w:val="22"/>
        </w:rPr>
        <w:t xml:space="preserve">标线间距设置如下：停止线距离人行横道线2m，第一组导向箭头距离停止线3m，第二组导向箭头位于导向车道线底部，导向车道线为实线，长度为40m，第三组导向箭头距离第二组箭头40m； </w:t>
      </w:r>
    </w:p>
    <w:p>
      <w:pPr>
        <w:pStyle w:val="4"/>
        <w:bidi w:val="0"/>
        <w:ind w:left="720" w:leftChars="0" w:hanging="720" w:firstLineChars="0"/>
        <w:rPr>
          <w:rFonts w:hint="eastAsia"/>
        </w:rPr>
      </w:pPr>
      <w:r>
        <w:rPr>
          <w:rFonts w:hint="eastAsia"/>
        </w:rPr>
        <w:t>标线材料</w:t>
      </w:r>
    </w:p>
    <w:p>
      <w:pPr>
        <w:numPr>
          <w:ilvl w:val="0"/>
          <w:numId w:val="5"/>
        </w:numPr>
        <w:ind w:firstLine="480"/>
        <w:rPr>
          <w:rFonts w:hint="eastAsia" w:ascii="宋体" w:hAnsi="宋体" w:eastAsia="宋体" w:cs="宋体"/>
          <w:szCs w:val="22"/>
        </w:rPr>
      </w:pPr>
      <w:r>
        <w:rPr>
          <w:rFonts w:hint="eastAsia" w:ascii="宋体" w:hAnsi="宋体" w:eastAsia="宋体" w:cs="宋体"/>
          <w:szCs w:val="22"/>
        </w:rPr>
        <w:t>本路标线面洒玻璃珠，标线厚度为1.8~2mm。</w:t>
      </w:r>
    </w:p>
    <w:p>
      <w:pPr>
        <w:numPr>
          <w:ilvl w:val="0"/>
          <w:numId w:val="5"/>
        </w:numPr>
        <w:ind w:firstLine="480"/>
        <w:rPr>
          <w:rFonts w:hint="eastAsia" w:ascii="宋体" w:hAnsi="宋体" w:eastAsia="宋体" w:cs="宋体"/>
          <w:szCs w:val="22"/>
        </w:rPr>
      </w:pPr>
      <w:r>
        <w:rPr>
          <w:rFonts w:hint="eastAsia" w:ascii="宋体" w:hAnsi="宋体" w:eastAsia="宋体" w:cs="宋体"/>
          <w:szCs w:val="22"/>
        </w:rPr>
        <w:t>标线逆反射系数：白色标线≥150，黄色标线≥100。</w:t>
      </w:r>
    </w:p>
    <w:p>
      <w:pPr>
        <w:pStyle w:val="4"/>
        <w:bidi w:val="0"/>
        <w:ind w:left="720" w:leftChars="0" w:hanging="720" w:firstLineChars="0"/>
        <w:rPr>
          <w:rFonts w:hint="eastAsia"/>
        </w:rPr>
      </w:pPr>
      <w:r>
        <w:rPr>
          <w:rFonts w:hint="eastAsia"/>
        </w:rPr>
        <w:t>材料规格</w:t>
      </w:r>
    </w:p>
    <w:p>
      <w:pPr>
        <w:numPr>
          <w:ilvl w:val="0"/>
          <w:numId w:val="6"/>
        </w:numPr>
        <w:spacing w:line="360" w:lineRule="auto"/>
        <w:ind w:left="0" w:leftChars="0" w:firstLine="454" w:firstLineChars="0"/>
        <w:rPr>
          <w:rFonts w:hint="eastAsia" w:ascii="宋体" w:hAnsi="宋体"/>
          <w:sz w:val="24"/>
          <w:szCs w:val="24"/>
        </w:rPr>
      </w:pPr>
      <w:r>
        <w:rPr>
          <w:rFonts w:hint="eastAsia" w:ascii="宋体" w:hAnsi="宋体"/>
          <w:sz w:val="24"/>
          <w:szCs w:val="24"/>
        </w:rPr>
        <w:t>标线材料采用白色、黄色热溶型标线涂料，热熔型涂料中的树脂必须是热塑性的。热塑性标线材料必须符合交通标线的技术要求：耐久，耐磨耗，耐腐蚀，与路面粘结强，在恶劣的气候条件下，具有较好的辨认性，具有防滑性和一定的粗糙度，便于施工，与人无害。</w:t>
      </w:r>
    </w:p>
    <w:p>
      <w:pPr>
        <w:numPr>
          <w:ilvl w:val="0"/>
          <w:numId w:val="6"/>
        </w:numPr>
        <w:spacing w:line="360" w:lineRule="auto"/>
        <w:ind w:left="0" w:leftChars="0" w:firstLine="454" w:firstLineChars="0"/>
        <w:rPr>
          <w:rFonts w:hint="eastAsia" w:ascii="宋体" w:hAnsi="宋体"/>
          <w:sz w:val="24"/>
          <w:szCs w:val="24"/>
        </w:rPr>
      </w:pPr>
      <w:r>
        <w:rPr>
          <w:rFonts w:hint="eastAsia" w:ascii="宋体" w:hAnsi="宋体"/>
          <w:sz w:val="24"/>
          <w:szCs w:val="24"/>
        </w:rPr>
        <w:t>用于标线的各种材料的性能应符合交通部标准《路面标线涂料》（JT/T280-2004）的规定。</w:t>
      </w:r>
    </w:p>
    <w:p>
      <w:pPr>
        <w:numPr>
          <w:ilvl w:val="0"/>
          <w:numId w:val="6"/>
        </w:numPr>
        <w:spacing w:line="360" w:lineRule="auto"/>
        <w:ind w:left="0" w:leftChars="0" w:firstLine="454" w:firstLineChars="0"/>
        <w:rPr>
          <w:rFonts w:hint="eastAsia" w:ascii="宋体" w:hAnsi="宋体"/>
          <w:sz w:val="24"/>
          <w:szCs w:val="24"/>
        </w:rPr>
      </w:pPr>
      <w:r>
        <w:rPr>
          <w:rFonts w:hint="eastAsia" w:ascii="宋体" w:hAnsi="宋体"/>
          <w:sz w:val="24"/>
          <w:szCs w:val="24"/>
        </w:rPr>
        <w:t>玻璃珠的品质要求应符合GB24722-2009《路面标线用玻璃珠》中表5的规定。</w:t>
      </w:r>
    </w:p>
    <w:p>
      <w:pPr>
        <w:pStyle w:val="3"/>
        <w:bidi w:val="0"/>
        <w:ind w:left="575" w:leftChars="0" w:hanging="575" w:firstLineChars="0"/>
        <w:rPr>
          <w:rFonts w:hint="eastAsia"/>
          <w:lang w:val="en-US" w:eastAsia="zh-CN"/>
        </w:rPr>
      </w:pPr>
      <w:r>
        <w:rPr>
          <w:rFonts w:hint="eastAsia"/>
          <w:lang w:val="en-US" w:eastAsia="zh-CN"/>
        </w:rPr>
        <w:t>交通信号灯设计</w:t>
      </w:r>
    </w:p>
    <w:p>
      <w:pPr>
        <w:pStyle w:val="4"/>
        <w:bidi w:val="0"/>
        <w:ind w:left="720" w:leftChars="0" w:hanging="720" w:firstLineChars="0"/>
        <w:rPr>
          <w:rFonts w:hint="eastAsia" w:ascii="宋体" w:hAnsi="宋体"/>
          <w:b/>
          <w:sz w:val="24"/>
          <w:szCs w:val="24"/>
        </w:rPr>
      </w:pPr>
      <w:r>
        <w:rPr>
          <w:rFonts w:hint="eastAsia" w:ascii="宋体" w:hAnsi="宋体" w:eastAsia="宋体" w:cs="Times New Roman"/>
          <w:b/>
          <w:kern w:val="2"/>
          <w:sz w:val="28"/>
          <w:lang w:val="en-US" w:eastAsia="zh-CN" w:bidi="ar-SA"/>
        </w:rPr>
        <w:t>设计原则</w:t>
      </w:r>
    </w:p>
    <w:p>
      <w:pPr>
        <w:numPr>
          <w:ilvl w:val="0"/>
          <w:numId w:val="7"/>
        </w:numPr>
        <w:ind w:firstLine="480"/>
        <w:rPr>
          <w:rFonts w:hint="eastAsia" w:ascii="宋体" w:hAnsi="宋体" w:eastAsia="宋体" w:cs="宋体"/>
          <w:szCs w:val="22"/>
        </w:rPr>
      </w:pPr>
      <w:r>
        <w:rPr>
          <w:rFonts w:hint="eastAsia" w:ascii="宋体" w:hAnsi="宋体" w:eastAsia="宋体" w:cs="宋体"/>
          <w:szCs w:val="22"/>
        </w:rPr>
        <w:t>本项目在交叉口设置交通信号灯，以保障行人与行车的安全以及道路交通流的顺畅。</w:t>
      </w:r>
    </w:p>
    <w:p>
      <w:pPr>
        <w:numPr>
          <w:ilvl w:val="0"/>
          <w:numId w:val="7"/>
        </w:numPr>
        <w:ind w:firstLine="480"/>
        <w:rPr>
          <w:rFonts w:hint="eastAsia" w:ascii="宋体" w:hAnsi="宋体" w:eastAsia="宋体" w:cs="宋体"/>
          <w:szCs w:val="22"/>
        </w:rPr>
      </w:pPr>
      <w:r>
        <w:rPr>
          <w:rFonts w:hint="eastAsia" w:ascii="宋体" w:hAnsi="宋体" w:eastAsia="宋体" w:cs="宋体"/>
          <w:szCs w:val="22"/>
        </w:rPr>
        <w:t>信号灯具体设置，以交警部门意见为准。</w:t>
      </w:r>
    </w:p>
    <w:p>
      <w:pPr>
        <w:numPr>
          <w:ilvl w:val="0"/>
          <w:numId w:val="7"/>
        </w:numPr>
        <w:ind w:firstLine="480"/>
        <w:rPr>
          <w:rFonts w:hint="eastAsia" w:ascii="宋体" w:hAnsi="宋体" w:eastAsia="宋体" w:cs="宋体"/>
          <w:szCs w:val="22"/>
        </w:rPr>
      </w:pPr>
      <w:r>
        <w:rPr>
          <w:rFonts w:hint="eastAsia" w:ascii="宋体" w:hAnsi="宋体" w:eastAsia="宋体" w:cs="宋体"/>
          <w:szCs w:val="22"/>
        </w:rPr>
        <w:t>被交叉信号灯杆上限速标志仅表示示意。</w:t>
      </w:r>
    </w:p>
    <w:p>
      <w:pPr>
        <w:pStyle w:val="4"/>
        <w:bidi w:val="0"/>
        <w:ind w:left="720" w:leftChars="0" w:hanging="720" w:firstLineChars="0"/>
        <w:rPr>
          <w:rFonts w:hint="eastAsia"/>
        </w:rPr>
      </w:pPr>
      <w:r>
        <w:rPr>
          <w:rFonts w:hint="eastAsia"/>
        </w:rPr>
        <w:t>系统构成</w:t>
      </w:r>
    </w:p>
    <w:p>
      <w:pPr>
        <w:numPr>
          <w:ilvl w:val="0"/>
          <w:numId w:val="8"/>
        </w:numPr>
        <w:ind w:firstLine="480"/>
        <w:rPr>
          <w:rFonts w:hint="eastAsia" w:ascii="宋体" w:hAnsi="宋体" w:eastAsia="宋体" w:cs="宋体"/>
          <w:szCs w:val="22"/>
        </w:rPr>
      </w:pPr>
      <w:r>
        <w:rPr>
          <w:rFonts w:hint="eastAsia" w:ascii="宋体" w:hAnsi="宋体" w:eastAsia="宋体" w:cs="宋体"/>
          <w:szCs w:val="22"/>
        </w:rPr>
        <w:t>系统外场部分主要由交通信号控制机，机动车信号灯，人行信号灯等组成；</w:t>
      </w:r>
    </w:p>
    <w:p>
      <w:pPr>
        <w:numPr>
          <w:ilvl w:val="0"/>
          <w:numId w:val="8"/>
        </w:numPr>
        <w:ind w:firstLine="480"/>
        <w:rPr>
          <w:rFonts w:hint="eastAsia" w:ascii="宋体" w:hAnsi="宋体" w:eastAsia="宋体" w:cs="宋体"/>
          <w:szCs w:val="22"/>
        </w:rPr>
      </w:pPr>
      <w:r>
        <w:rPr>
          <w:rFonts w:hint="eastAsia" w:ascii="宋体" w:hAnsi="宋体" w:eastAsia="宋体" w:cs="宋体"/>
          <w:szCs w:val="22"/>
        </w:rPr>
        <w:t>灯色排列方式</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机动车信号灯采用红、黄、绿三色全屏灯，竖排方式，安装从上到下依次为红、黄、绿。根据路口情况灯杆采用悬臂杆。</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人行信号灯均采用红绿</w:t>
      </w:r>
      <w:r>
        <w:rPr>
          <w:color w:val="000000"/>
          <w:sz w:val="24"/>
          <w:szCs w:val="24"/>
        </w:rPr>
        <w:t>2</w:t>
      </w:r>
      <w:r>
        <w:rPr>
          <w:rFonts w:hAnsi="宋体"/>
          <w:color w:val="000000"/>
          <w:sz w:val="24"/>
          <w:szCs w:val="24"/>
        </w:rPr>
        <w:t>灯位组合。</w:t>
      </w:r>
    </w:p>
    <w:p>
      <w:pPr>
        <w:pStyle w:val="4"/>
        <w:bidi w:val="0"/>
        <w:ind w:left="720" w:leftChars="0" w:hanging="720" w:firstLineChars="0"/>
        <w:rPr>
          <w:rFonts w:hint="eastAsia"/>
        </w:rPr>
      </w:pPr>
      <w:r>
        <w:rPr>
          <w:rFonts w:hint="eastAsia"/>
        </w:rPr>
        <w:t>系统功能</w:t>
      </w:r>
    </w:p>
    <w:p>
      <w:pPr>
        <w:spacing w:line="360" w:lineRule="auto"/>
        <w:ind w:firstLine="480" w:firstLineChars="200"/>
        <w:rPr>
          <w:color w:val="000000"/>
          <w:sz w:val="24"/>
          <w:szCs w:val="24"/>
        </w:rPr>
      </w:pPr>
      <w:r>
        <w:rPr>
          <w:rFonts w:hAnsi="宋体"/>
          <w:color w:val="000000"/>
          <w:sz w:val="24"/>
          <w:szCs w:val="24"/>
        </w:rPr>
        <w:t>本次设计采用集中协调式信号机，实现自适应协调控制系统功能</w:t>
      </w:r>
      <w:r>
        <w:rPr>
          <w:rFonts w:hint="eastAsia" w:hAnsi="宋体"/>
          <w:color w:val="000000"/>
          <w:sz w:val="24"/>
          <w:szCs w:val="24"/>
        </w:rPr>
        <w:t>，同时控制系统需满足接入</w:t>
      </w:r>
      <w:r>
        <w:rPr>
          <w:rFonts w:hint="eastAsia"/>
          <w:color w:val="000000"/>
          <w:sz w:val="24"/>
          <w:szCs w:val="24"/>
          <w:lang w:val="en-US" w:eastAsia="zh-CN"/>
        </w:rPr>
        <w:t>西昌</w:t>
      </w:r>
      <w:r>
        <w:rPr>
          <w:rFonts w:hint="eastAsia" w:hAnsi="宋体"/>
          <w:color w:val="000000"/>
          <w:sz w:val="24"/>
          <w:szCs w:val="24"/>
        </w:rPr>
        <w:t>市交警支队智能指挥系统</w:t>
      </w:r>
      <w:r>
        <w:rPr>
          <w:rFonts w:hAnsi="宋体"/>
          <w:color w:val="000000"/>
          <w:sz w:val="24"/>
          <w:szCs w:val="24"/>
        </w:rPr>
        <w:t>。</w:t>
      </w:r>
    </w:p>
    <w:p>
      <w:pPr>
        <w:pStyle w:val="4"/>
        <w:bidi w:val="0"/>
        <w:ind w:left="720" w:leftChars="0" w:hanging="720" w:firstLineChars="0"/>
        <w:rPr>
          <w:rFonts w:hint="eastAsia"/>
        </w:rPr>
      </w:pPr>
      <w:r>
        <w:rPr>
          <w:rFonts w:hint="eastAsia"/>
        </w:rPr>
        <w:t>供电方案</w:t>
      </w:r>
    </w:p>
    <w:p>
      <w:pPr>
        <w:snapToGrid w:val="0"/>
        <w:spacing w:line="360" w:lineRule="auto"/>
        <w:ind w:firstLine="480" w:firstLineChars="200"/>
        <w:rPr>
          <w:rFonts w:hint="eastAsia" w:ascii="宋体" w:hAnsi="宋体"/>
          <w:b/>
          <w:sz w:val="24"/>
          <w:szCs w:val="24"/>
        </w:rPr>
      </w:pPr>
      <w:r>
        <w:rPr>
          <w:rFonts w:hint="eastAsia" w:ascii="宋体" w:hAnsi="宋体"/>
          <w:color w:val="000000"/>
          <w:sz w:val="24"/>
          <w:szCs w:val="24"/>
        </w:rPr>
        <w:t>交通信号控制机供电引自最近的路灯控制箱，</w:t>
      </w:r>
      <w:r>
        <w:rPr>
          <w:rFonts w:hint="eastAsia" w:ascii="宋体" w:hAnsi="宋体"/>
          <w:color w:val="000000"/>
          <w:spacing w:val="8"/>
          <w:sz w:val="24"/>
          <w:szCs w:val="24"/>
        </w:rPr>
        <w:t>电缆采用</w:t>
      </w:r>
      <w:r>
        <w:rPr>
          <w:rFonts w:hint="eastAsia" w:ascii="宋体" w:hAnsi="宋体"/>
          <w:color w:val="000000"/>
          <w:sz w:val="24"/>
        </w:rPr>
        <w:t>φ50</w:t>
      </w:r>
      <w:r>
        <w:rPr>
          <w:rFonts w:hint="eastAsia" w:ascii="宋体" w:hAnsi="宋体"/>
          <w:color w:val="000000"/>
          <w:spacing w:val="8"/>
          <w:sz w:val="24"/>
          <w:szCs w:val="24"/>
        </w:rPr>
        <w:t>PVC管敷设，埋深不小于0.7m。</w:t>
      </w:r>
    </w:p>
    <w:p>
      <w:pPr>
        <w:pStyle w:val="4"/>
        <w:bidi w:val="0"/>
        <w:ind w:left="720" w:leftChars="0" w:hanging="720" w:firstLineChars="0"/>
        <w:rPr>
          <w:rFonts w:hint="eastAsia"/>
        </w:rPr>
      </w:pPr>
      <w:r>
        <w:rPr>
          <w:rFonts w:hint="eastAsia"/>
        </w:rPr>
        <w:t>信号灯管线</w:t>
      </w:r>
    </w:p>
    <w:p>
      <w:pPr>
        <w:snapToGrid w:val="0"/>
        <w:spacing w:line="360" w:lineRule="auto"/>
        <w:ind w:firstLine="360" w:firstLineChars="150"/>
        <w:rPr>
          <w:color w:val="000000"/>
          <w:sz w:val="24"/>
          <w:szCs w:val="24"/>
        </w:rPr>
      </w:pPr>
      <w:r>
        <w:rPr>
          <w:rFonts w:hAnsi="宋体"/>
          <w:color w:val="000000"/>
          <w:sz w:val="24"/>
          <w:szCs w:val="24"/>
        </w:rPr>
        <w:t>信号灯管道由接线井和管道构成。</w:t>
      </w:r>
    </w:p>
    <w:p>
      <w:pPr>
        <w:numPr>
          <w:ilvl w:val="0"/>
          <w:numId w:val="10"/>
        </w:numPr>
        <w:ind w:firstLine="480"/>
        <w:rPr>
          <w:rFonts w:hint="eastAsia" w:ascii="宋体" w:hAnsi="宋体" w:eastAsia="宋体" w:cs="宋体"/>
          <w:szCs w:val="22"/>
        </w:rPr>
      </w:pPr>
      <w:r>
        <w:rPr>
          <w:rFonts w:hint="eastAsia" w:ascii="宋体" w:hAnsi="宋体" w:eastAsia="宋体" w:cs="宋体"/>
          <w:szCs w:val="22"/>
        </w:rPr>
        <w:t>接线井</w:t>
      </w:r>
    </w:p>
    <w:p>
      <w:pPr>
        <w:snapToGrid w:val="0"/>
        <w:spacing w:line="360" w:lineRule="auto"/>
        <w:ind w:firstLine="480"/>
        <w:rPr>
          <w:rFonts w:hint="eastAsia"/>
          <w:color w:val="000000"/>
          <w:sz w:val="24"/>
          <w:szCs w:val="24"/>
        </w:rPr>
      </w:pPr>
      <w:r>
        <w:rPr>
          <w:rFonts w:hAnsi="宋体"/>
          <w:color w:val="000000"/>
          <w:sz w:val="24"/>
          <w:szCs w:val="24"/>
        </w:rPr>
        <w:t>在信号灯杆旁、信号灯控制机旁、电缆拐弯处设置接线井</w:t>
      </w:r>
      <w:r>
        <w:rPr>
          <w:rFonts w:hint="eastAsia" w:hAnsi="宋体"/>
          <w:color w:val="000000"/>
          <w:sz w:val="24"/>
          <w:szCs w:val="24"/>
        </w:rPr>
        <w:t>，</w:t>
      </w:r>
      <w:r>
        <w:rPr>
          <w:rFonts w:hAnsi="宋体"/>
          <w:color w:val="000000"/>
          <w:sz w:val="24"/>
          <w:szCs w:val="24"/>
        </w:rPr>
        <w:t>接线井严禁设置于道路路面及人行道低洼积水处；接线井内围尺寸为：</w:t>
      </w:r>
      <w:r>
        <w:rPr>
          <w:rFonts w:hint="eastAsia"/>
          <w:color w:val="000000"/>
          <w:sz w:val="24"/>
          <w:szCs w:val="24"/>
        </w:rPr>
        <w:t>40</w:t>
      </w:r>
      <w:r>
        <w:rPr>
          <w:color w:val="000000"/>
          <w:sz w:val="24"/>
          <w:szCs w:val="24"/>
        </w:rPr>
        <w:t>0×</w:t>
      </w:r>
      <w:r>
        <w:rPr>
          <w:rFonts w:hint="eastAsia"/>
          <w:color w:val="000000"/>
          <w:sz w:val="24"/>
          <w:szCs w:val="24"/>
        </w:rPr>
        <w:t>40</w:t>
      </w:r>
      <w:r>
        <w:rPr>
          <w:color w:val="000000"/>
          <w:sz w:val="24"/>
          <w:szCs w:val="24"/>
        </w:rPr>
        <w:t>0×1000mm</w:t>
      </w:r>
      <w:r>
        <w:rPr>
          <w:rFonts w:hAnsi="宋体"/>
          <w:color w:val="000000"/>
          <w:sz w:val="24"/>
          <w:szCs w:val="24"/>
        </w:rPr>
        <w:t>。</w:t>
      </w:r>
    </w:p>
    <w:p>
      <w:pPr>
        <w:numPr>
          <w:ilvl w:val="0"/>
          <w:numId w:val="10"/>
        </w:numPr>
        <w:ind w:firstLine="480"/>
        <w:rPr>
          <w:rFonts w:hint="eastAsia" w:ascii="宋体" w:hAnsi="宋体" w:eastAsia="宋体" w:cs="宋体"/>
          <w:szCs w:val="22"/>
        </w:rPr>
      </w:pPr>
      <w:r>
        <w:rPr>
          <w:rFonts w:hint="eastAsia" w:ascii="宋体" w:hAnsi="宋体" w:eastAsia="宋体" w:cs="宋体"/>
          <w:szCs w:val="22"/>
        </w:rPr>
        <w:t>交通信号管线</w:t>
      </w:r>
    </w:p>
    <w:p>
      <w:pPr>
        <w:snapToGrid w:val="0"/>
        <w:spacing w:line="360" w:lineRule="auto"/>
        <w:ind w:firstLine="600" w:firstLineChars="250"/>
        <w:rPr>
          <w:color w:val="000000"/>
          <w:sz w:val="24"/>
          <w:szCs w:val="24"/>
        </w:rPr>
      </w:pPr>
      <w:r>
        <w:rPr>
          <w:rFonts w:hAnsi="宋体"/>
          <w:color w:val="000000"/>
          <w:sz w:val="24"/>
        </w:rPr>
        <w:t>敷线管道设计根据路口信号灯线缆情况，并考虑适当预留。横跨道路处共敷设</w:t>
      </w:r>
      <w:r>
        <w:rPr>
          <w:color w:val="000000"/>
          <w:sz w:val="24"/>
        </w:rPr>
        <w:t>3</w:t>
      </w:r>
      <w:r>
        <w:rPr>
          <w:rFonts w:hAnsi="宋体"/>
          <w:color w:val="000000"/>
          <w:sz w:val="24"/>
        </w:rPr>
        <w:t>孔管道（</w:t>
      </w:r>
      <w:r>
        <w:rPr>
          <w:rFonts w:hint="eastAsia"/>
          <w:color w:val="000000"/>
          <w:sz w:val="24"/>
        </w:rPr>
        <w:t>3</w:t>
      </w:r>
      <w:r>
        <w:rPr>
          <w:rFonts w:hAnsi="宋体"/>
          <w:color w:val="000000"/>
          <w:sz w:val="24"/>
        </w:rPr>
        <w:t>根</w:t>
      </w:r>
      <w:r>
        <w:rPr>
          <w:color w:val="000000"/>
          <w:sz w:val="24"/>
        </w:rPr>
        <w:t>φ125</w:t>
      </w:r>
      <w:r>
        <w:rPr>
          <w:rFonts w:hAnsi="宋体"/>
          <w:color w:val="000000"/>
          <w:sz w:val="24"/>
        </w:rPr>
        <w:t>镀锌钢管，内套</w:t>
      </w:r>
      <w:r>
        <w:rPr>
          <w:rFonts w:hint="eastAsia" w:hAnsi="宋体"/>
          <w:color w:val="000000"/>
          <w:sz w:val="24"/>
        </w:rPr>
        <w:t>3根</w:t>
      </w:r>
      <w:r>
        <w:rPr>
          <w:color w:val="000000"/>
          <w:sz w:val="24"/>
        </w:rPr>
        <w:t>φ110PVC</w:t>
      </w:r>
      <w:r>
        <w:rPr>
          <w:rFonts w:hAnsi="宋体"/>
          <w:color w:val="000000"/>
          <w:sz w:val="24"/>
        </w:rPr>
        <w:t>管），距路面深度不小于</w:t>
      </w:r>
      <w:r>
        <w:rPr>
          <w:color w:val="000000"/>
          <w:sz w:val="24"/>
        </w:rPr>
        <w:t>0.5m</w:t>
      </w:r>
      <w:r>
        <w:rPr>
          <w:rFonts w:hAnsi="宋体"/>
          <w:color w:val="000000"/>
          <w:sz w:val="24"/>
        </w:rPr>
        <w:t>；人行道处敷设</w:t>
      </w:r>
      <w:r>
        <w:rPr>
          <w:rFonts w:hint="eastAsia"/>
          <w:color w:val="000000"/>
          <w:sz w:val="24"/>
        </w:rPr>
        <w:t>3</w:t>
      </w:r>
      <w:r>
        <w:rPr>
          <w:rFonts w:hAnsi="宋体"/>
          <w:color w:val="000000"/>
          <w:sz w:val="24"/>
        </w:rPr>
        <w:t>孔</w:t>
      </w:r>
      <w:r>
        <w:rPr>
          <w:color w:val="000000"/>
          <w:sz w:val="24"/>
        </w:rPr>
        <w:t>φ110PVC</w:t>
      </w:r>
      <w:r>
        <w:rPr>
          <w:rFonts w:hAnsi="宋体"/>
          <w:color w:val="000000"/>
          <w:sz w:val="24"/>
        </w:rPr>
        <w:t>管，覆土深度不小于</w:t>
      </w:r>
      <w:r>
        <w:rPr>
          <w:color w:val="000000"/>
          <w:sz w:val="24"/>
        </w:rPr>
        <w:t>0.7m</w:t>
      </w:r>
      <w:r>
        <w:rPr>
          <w:rFonts w:hAnsi="宋体"/>
          <w:color w:val="000000"/>
          <w:sz w:val="24"/>
          <w:szCs w:val="24"/>
        </w:rPr>
        <w:t>。其中一孔敷设供电线缆，</w:t>
      </w:r>
      <w:r>
        <w:rPr>
          <w:rFonts w:hint="eastAsia" w:hAnsi="宋体"/>
          <w:color w:val="000000"/>
          <w:sz w:val="24"/>
          <w:szCs w:val="24"/>
        </w:rPr>
        <w:t>一</w:t>
      </w:r>
      <w:r>
        <w:rPr>
          <w:rFonts w:hAnsi="宋体"/>
          <w:color w:val="000000"/>
          <w:sz w:val="24"/>
          <w:szCs w:val="24"/>
        </w:rPr>
        <w:t>孔敷设弱电线缆</w:t>
      </w:r>
      <w:r>
        <w:rPr>
          <w:rFonts w:hint="eastAsia" w:hAnsi="宋体"/>
          <w:color w:val="000000"/>
          <w:sz w:val="24"/>
          <w:szCs w:val="24"/>
        </w:rPr>
        <w:t>，另外一孔为预留管道</w:t>
      </w:r>
      <w:r>
        <w:rPr>
          <w:rFonts w:hAnsi="宋体"/>
          <w:color w:val="000000"/>
          <w:sz w:val="24"/>
          <w:szCs w:val="24"/>
        </w:rPr>
        <w:t>。</w:t>
      </w:r>
    </w:p>
    <w:p>
      <w:pPr>
        <w:numPr>
          <w:ilvl w:val="0"/>
          <w:numId w:val="10"/>
        </w:numPr>
        <w:ind w:firstLine="480"/>
        <w:rPr>
          <w:rFonts w:hint="eastAsia" w:ascii="宋体" w:hAnsi="宋体" w:eastAsia="宋体" w:cs="宋体"/>
          <w:szCs w:val="22"/>
        </w:rPr>
      </w:pPr>
      <w:r>
        <w:rPr>
          <w:rFonts w:hint="eastAsia" w:ascii="宋体" w:hAnsi="宋体" w:eastAsia="宋体" w:cs="宋体"/>
          <w:szCs w:val="22"/>
        </w:rPr>
        <w:t>道路开挖、管井施工注意事项：</w:t>
      </w:r>
    </w:p>
    <w:p>
      <w:pPr>
        <w:numPr>
          <w:ilvl w:val="0"/>
          <w:numId w:val="11"/>
        </w:numPr>
        <w:spacing w:line="360" w:lineRule="auto"/>
        <w:rPr>
          <w:color w:val="000000"/>
          <w:sz w:val="24"/>
          <w:szCs w:val="24"/>
        </w:rPr>
      </w:pPr>
      <w:r>
        <w:rPr>
          <w:rFonts w:hAnsi="宋体"/>
          <w:color w:val="000000"/>
          <w:sz w:val="24"/>
          <w:szCs w:val="24"/>
        </w:rPr>
        <w:t>在考虑管道过街位置时，尽可能取路面结合处；</w:t>
      </w:r>
    </w:p>
    <w:p>
      <w:pPr>
        <w:numPr>
          <w:ilvl w:val="0"/>
          <w:numId w:val="11"/>
        </w:numPr>
        <w:spacing w:line="360" w:lineRule="auto"/>
        <w:rPr>
          <w:color w:val="000000"/>
          <w:sz w:val="24"/>
          <w:szCs w:val="24"/>
        </w:rPr>
      </w:pPr>
      <w:r>
        <w:rPr>
          <w:rFonts w:hAnsi="宋体"/>
          <w:color w:val="000000"/>
          <w:sz w:val="24"/>
          <w:szCs w:val="24"/>
        </w:rPr>
        <w:t>设接线井时，尽可能考虑预留信号灯的基础位置，并避免与电信、电力、煤气等其它井冲突；</w:t>
      </w:r>
    </w:p>
    <w:p>
      <w:pPr>
        <w:numPr>
          <w:ilvl w:val="0"/>
          <w:numId w:val="11"/>
        </w:numPr>
        <w:spacing w:line="360" w:lineRule="auto"/>
        <w:rPr>
          <w:color w:val="000000"/>
          <w:sz w:val="24"/>
          <w:szCs w:val="24"/>
        </w:rPr>
      </w:pPr>
      <w:r>
        <w:rPr>
          <w:rFonts w:hAnsi="宋体"/>
          <w:color w:val="000000"/>
          <w:sz w:val="24"/>
          <w:szCs w:val="24"/>
        </w:rPr>
        <w:t>开挖的机动车道、人行道应尽最大可能恢复原貌，严禁出现路面塌陷。</w:t>
      </w:r>
    </w:p>
    <w:p>
      <w:pPr>
        <w:pStyle w:val="4"/>
        <w:bidi w:val="0"/>
        <w:ind w:left="720" w:leftChars="0" w:hanging="720" w:firstLineChars="0"/>
        <w:rPr>
          <w:rFonts w:hint="eastAsia"/>
        </w:rPr>
      </w:pPr>
      <w:r>
        <w:rPr>
          <w:rFonts w:hint="eastAsia"/>
        </w:rPr>
        <w:t xml:space="preserve"> 接地与防雷系统</w:t>
      </w:r>
    </w:p>
    <w:p>
      <w:pPr>
        <w:numPr>
          <w:ilvl w:val="0"/>
          <w:numId w:val="12"/>
        </w:numPr>
        <w:ind w:firstLine="480"/>
        <w:rPr>
          <w:rFonts w:hint="eastAsia" w:ascii="宋体" w:hAnsi="宋体" w:eastAsia="宋体" w:cs="宋体"/>
          <w:szCs w:val="22"/>
        </w:rPr>
      </w:pPr>
      <w:r>
        <w:rPr>
          <w:rFonts w:hint="eastAsia" w:ascii="宋体" w:hAnsi="宋体" w:eastAsia="宋体" w:cs="宋体"/>
          <w:szCs w:val="22"/>
        </w:rPr>
        <w:t>接地系统</w:t>
      </w:r>
    </w:p>
    <w:p>
      <w:pPr>
        <w:spacing w:line="360" w:lineRule="auto"/>
        <w:ind w:firstLine="480" w:firstLineChars="200"/>
        <w:rPr>
          <w:color w:val="000000"/>
          <w:sz w:val="24"/>
        </w:rPr>
      </w:pPr>
      <w:r>
        <w:rPr>
          <w:rFonts w:hAnsi="宋体"/>
          <w:color w:val="000000"/>
          <w:sz w:val="24"/>
        </w:rPr>
        <w:t>每座信号灯杆基础处及</w:t>
      </w:r>
      <w:r>
        <w:rPr>
          <w:color w:val="000000"/>
          <w:sz w:val="24"/>
          <w:szCs w:val="24"/>
        </w:rPr>
        <w:t>交通信号控制机处</w:t>
      </w:r>
      <w:r>
        <w:rPr>
          <w:rFonts w:hAnsi="宋体"/>
          <w:color w:val="000000"/>
          <w:sz w:val="24"/>
        </w:rPr>
        <w:t>均设置接地极，接地极采用</w:t>
      </w:r>
      <w:r>
        <w:rPr>
          <w:color w:val="000000"/>
          <w:sz w:val="24"/>
        </w:rPr>
        <w:t>4</w:t>
      </w:r>
      <w:r>
        <w:rPr>
          <w:rFonts w:hAnsi="宋体"/>
          <w:color w:val="000000"/>
          <w:sz w:val="24"/>
        </w:rPr>
        <w:t>根热镀锌角钢</w:t>
      </w:r>
      <w:r>
        <w:rPr>
          <w:color w:val="000000"/>
          <w:sz w:val="24"/>
        </w:rPr>
        <w:t>50×50×5(L=2500mm)</w:t>
      </w:r>
      <w:r>
        <w:rPr>
          <w:rFonts w:hAnsi="宋体"/>
          <w:color w:val="000000"/>
          <w:sz w:val="24"/>
        </w:rPr>
        <w:t>，用</w:t>
      </w:r>
      <w:r>
        <w:rPr>
          <w:color w:val="000000"/>
          <w:sz w:val="24"/>
        </w:rPr>
        <w:t>50×5</w:t>
      </w:r>
      <w:r>
        <w:rPr>
          <w:rFonts w:hAnsi="宋体"/>
          <w:color w:val="000000"/>
          <w:sz w:val="24"/>
        </w:rPr>
        <w:t>热镀锌扁钢将接地极与砼基础配筋网及杆地脚螺栓在地下部分全部焊接连成一电气整体。沿人行道每隔</w:t>
      </w:r>
      <w:r>
        <w:rPr>
          <w:color w:val="000000"/>
          <w:sz w:val="24"/>
        </w:rPr>
        <w:t>5m</w:t>
      </w:r>
      <w:r>
        <w:rPr>
          <w:rFonts w:hAnsi="宋体"/>
          <w:color w:val="000000"/>
          <w:sz w:val="24"/>
        </w:rPr>
        <w:t>设一垂直接地极，接地极垂直打入地下（其顶部埋深大于</w:t>
      </w:r>
      <w:r>
        <w:rPr>
          <w:color w:val="000000"/>
          <w:sz w:val="24"/>
        </w:rPr>
        <w:t>1m</w:t>
      </w:r>
      <w:r>
        <w:rPr>
          <w:rFonts w:hAnsi="宋体"/>
          <w:color w:val="000000"/>
          <w:sz w:val="24"/>
        </w:rPr>
        <w:t>），并与</w:t>
      </w:r>
      <w:r>
        <w:rPr>
          <w:color w:val="000000"/>
          <w:sz w:val="24"/>
        </w:rPr>
        <w:t>50×5</w:t>
      </w:r>
      <w:r>
        <w:rPr>
          <w:rFonts w:hAnsi="宋体"/>
          <w:color w:val="000000"/>
          <w:sz w:val="24"/>
        </w:rPr>
        <w:t>热镀锌扁钢焊接连通，焊接部位须进行防腐处理，接地电阻小于</w:t>
      </w:r>
      <w:r>
        <w:rPr>
          <w:color w:val="000000"/>
          <w:sz w:val="24"/>
        </w:rPr>
        <w:t>4</w:t>
      </w:r>
      <w:r>
        <w:rPr>
          <w:rFonts w:hAnsi="宋体"/>
          <w:color w:val="000000"/>
          <w:sz w:val="24"/>
        </w:rPr>
        <w:t>欧姆，不允许连接其它部门的地线。当土壤电阻率较高，接地电阻达不到要求时，可适量添加降阻剂或采用专用低阻接地模块代替角钢接地极，应保证接地电阻应</w:t>
      </w:r>
      <w:r>
        <w:rPr>
          <w:color w:val="000000"/>
          <w:sz w:val="24"/>
        </w:rPr>
        <w:t>≤4Ω</w:t>
      </w:r>
      <w:r>
        <w:rPr>
          <w:rFonts w:hAnsi="宋体"/>
          <w:color w:val="000000"/>
          <w:sz w:val="24"/>
        </w:rPr>
        <w:t>。</w:t>
      </w:r>
    </w:p>
    <w:p>
      <w:pPr>
        <w:numPr>
          <w:ilvl w:val="0"/>
          <w:numId w:val="12"/>
        </w:numPr>
        <w:ind w:firstLine="480"/>
        <w:rPr>
          <w:rFonts w:hint="eastAsia" w:ascii="宋体" w:hAnsi="宋体" w:eastAsia="宋体" w:cs="宋体"/>
          <w:szCs w:val="22"/>
        </w:rPr>
      </w:pPr>
      <w:r>
        <w:rPr>
          <w:rFonts w:hint="eastAsia" w:ascii="宋体" w:hAnsi="宋体" w:eastAsia="宋体" w:cs="宋体"/>
          <w:szCs w:val="22"/>
        </w:rPr>
        <w:t>防雷系统</w:t>
      </w:r>
    </w:p>
    <w:p>
      <w:pPr>
        <w:spacing w:line="360" w:lineRule="auto"/>
        <w:ind w:firstLine="480" w:firstLineChars="200"/>
        <w:rPr>
          <w:color w:val="000000"/>
          <w:sz w:val="24"/>
          <w:szCs w:val="24"/>
        </w:rPr>
      </w:pPr>
      <w:r>
        <w:rPr>
          <w:color w:val="000000"/>
          <w:sz w:val="24"/>
          <w:szCs w:val="24"/>
        </w:rPr>
        <w:t>防雷：交通信号控制机电源进线处加装电源防雷器。</w:t>
      </w:r>
    </w:p>
    <w:p>
      <w:pPr>
        <w:spacing w:line="360" w:lineRule="auto"/>
        <w:ind w:firstLine="480" w:firstLineChars="200"/>
        <w:rPr>
          <w:color w:val="000000"/>
          <w:sz w:val="24"/>
        </w:rPr>
      </w:pPr>
      <w:r>
        <w:rPr>
          <w:color w:val="000000"/>
          <w:sz w:val="24"/>
          <w:szCs w:val="24"/>
        </w:rPr>
        <w:t>数据信号防雷：交通信号控制机数据信号进线处加装数据信号防雷器。</w:t>
      </w:r>
    </w:p>
    <w:p>
      <w:pPr>
        <w:pStyle w:val="4"/>
        <w:bidi w:val="0"/>
        <w:ind w:left="720" w:leftChars="0" w:hanging="720" w:firstLineChars="0"/>
        <w:rPr>
          <w:rFonts w:hint="eastAsia"/>
        </w:rPr>
      </w:pPr>
      <w:r>
        <w:rPr>
          <w:rFonts w:hint="eastAsia"/>
        </w:rPr>
        <w:t xml:space="preserve"> 主要设备技术指标</w:t>
      </w:r>
    </w:p>
    <w:p>
      <w:pPr>
        <w:numPr>
          <w:ilvl w:val="0"/>
          <w:numId w:val="13"/>
        </w:numPr>
        <w:ind w:firstLine="480"/>
        <w:rPr>
          <w:rFonts w:hint="eastAsia" w:ascii="宋体" w:hAnsi="宋体" w:eastAsia="宋体" w:cs="宋体"/>
          <w:szCs w:val="22"/>
        </w:rPr>
      </w:pPr>
      <w:r>
        <w:rPr>
          <w:rFonts w:hint="eastAsia" w:ascii="宋体" w:hAnsi="宋体" w:eastAsia="宋体" w:cs="宋体"/>
          <w:szCs w:val="22"/>
        </w:rPr>
        <w:t>机动车信号灯</w:t>
      </w:r>
    </w:p>
    <w:p>
      <w:pPr>
        <w:numPr>
          <w:ilvl w:val="0"/>
          <w:numId w:val="11"/>
        </w:numPr>
        <w:spacing w:line="360" w:lineRule="auto"/>
        <w:rPr>
          <w:color w:val="000000"/>
          <w:sz w:val="24"/>
        </w:rPr>
      </w:pPr>
      <w:r>
        <w:rPr>
          <w:rFonts w:hAnsi="宋体"/>
          <w:color w:val="000000"/>
          <w:sz w:val="24"/>
        </w:rPr>
        <w:t>信号灯单灯的光学性能、工作条件、机械强度、电气性能均符合国家标准《道路交通信号灯》（</w:t>
      </w:r>
      <w:r>
        <w:rPr>
          <w:color w:val="000000"/>
          <w:sz w:val="24"/>
        </w:rPr>
        <w:t>GB14887-2011</w:t>
      </w:r>
      <w:r>
        <w:rPr>
          <w:rFonts w:hAnsi="宋体"/>
          <w:color w:val="000000"/>
          <w:sz w:val="24"/>
        </w:rPr>
        <w:t>）</w:t>
      </w:r>
      <w:r>
        <w:rPr>
          <w:color w:val="000000"/>
          <w:sz w:val="24"/>
        </w:rPr>
        <w:t xml:space="preserve">1 </w:t>
      </w:r>
      <w:r>
        <w:rPr>
          <w:rFonts w:hAnsi="宋体"/>
          <w:color w:val="000000"/>
          <w:sz w:val="24"/>
        </w:rPr>
        <w:t>类</w:t>
      </w:r>
      <w:r>
        <w:rPr>
          <w:color w:val="000000"/>
          <w:sz w:val="24"/>
        </w:rPr>
        <w:t xml:space="preserve">1 </w:t>
      </w:r>
      <w:r>
        <w:rPr>
          <w:rFonts w:hAnsi="宋体"/>
          <w:color w:val="000000"/>
          <w:sz w:val="24"/>
        </w:rPr>
        <w:t>级（</w:t>
      </w:r>
      <w:r>
        <w:rPr>
          <w:color w:val="000000"/>
          <w:sz w:val="24"/>
        </w:rPr>
        <w:t xml:space="preserve">W </w:t>
      </w:r>
      <w:r>
        <w:rPr>
          <w:rFonts w:hAnsi="宋体"/>
          <w:color w:val="000000"/>
          <w:sz w:val="24"/>
        </w:rPr>
        <w:t>型）全部技术规定，并通过公安部交通安全产品质量监督检测中心的检测；</w:t>
      </w:r>
    </w:p>
    <w:p>
      <w:pPr>
        <w:numPr>
          <w:ilvl w:val="0"/>
          <w:numId w:val="11"/>
        </w:numPr>
        <w:spacing w:line="360" w:lineRule="auto"/>
        <w:rPr>
          <w:color w:val="000000"/>
          <w:sz w:val="24"/>
        </w:rPr>
      </w:pPr>
      <w:r>
        <w:rPr>
          <w:color w:val="000000"/>
          <w:szCs w:val="28"/>
        </w:rPr>
        <w:t>φ</w:t>
      </w:r>
      <w:r>
        <w:rPr>
          <w:color w:val="000000"/>
          <w:sz w:val="24"/>
        </w:rPr>
        <w:t>400</w:t>
      </w:r>
      <w:r>
        <w:rPr>
          <w:rFonts w:hAnsi="宋体"/>
          <w:color w:val="000000"/>
          <w:sz w:val="24"/>
        </w:rPr>
        <w:t>型三联体红黄绿信号灯由三个单色</w:t>
      </w:r>
      <w:r>
        <w:rPr>
          <w:color w:val="000000"/>
          <w:sz w:val="24"/>
        </w:rPr>
        <w:t>(</w:t>
      </w:r>
      <w:r>
        <w:rPr>
          <w:rFonts w:hAnsi="宋体"/>
          <w:color w:val="000000"/>
          <w:sz w:val="24"/>
        </w:rPr>
        <w:t>红、黄、绿</w:t>
      </w:r>
      <w:r>
        <w:rPr>
          <w:color w:val="000000"/>
          <w:sz w:val="24"/>
        </w:rPr>
        <w:t>)</w:t>
      </w:r>
      <w:r>
        <w:rPr>
          <w:rFonts w:hAnsi="宋体"/>
          <w:color w:val="000000"/>
          <w:sz w:val="24"/>
        </w:rPr>
        <w:t>单元信号灯组合而成，单元信号灯以色片直径及外形尺寸标准规定为</w:t>
      </w:r>
      <w:r>
        <w:rPr>
          <w:color w:val="000000"/>
          <w:sz w:val="24"/>
        </w:rPr>
        <w:t>Ф370mm</w:t>
      </w:r>
      <w:r>
        <w:rPr>
          <w:rFonts w:hAnsi="宋体"/>
          <w:color w:val="000000"/>
          <w:sz w:val="24"/>
        </w:rPr>
        <w:t>；</w:t>
      </w:r>
    </w:p>
    <w:p>
      <w:pPr>
        <w:numPr>
          <w:ilvl w:val="0"/>
          <w:numId w:val="11"/>
        </w:numPr>
        <w:spacing w:line="360" w:lineRule="auto"/>
        <w:rPr>
          <w:color w:val="000000"/>
          <w:sz w:val="24"/>
        </w:rPr>
      </w:pPr>
      <w:r>
        <w:rPr>
          <w:rFonts w:hAnsi="宋体"/>
          <w:color w:val="000000"/>
          <w:sz w:val="24"/>
        </w:rPr>
        <w:t>使用寿命不少于</w:t>
      </w:r>
      <w:r>
        <w:rPr>
          <w:color w:val="000000"/>
          <w:sz w:val="24"/>
        </w:rPr>
        <w:t xml:space="preserve">50000 </w:t>
      </w:r>
      <w:r>
        <w:rPr>
          <w:rFonts w:hAnsi="宋体"/>
          <w:color w:val="000000"/>
          <w:sz w:val="24"/>
        </w:rPr>
        <w:t>小时；</w:t>
      </w:r>
    </w:p>
    <w:p>
      <w:pPr>
        <w:numPr>
          <w:ilvl w:val="0"/>
          <w:numId w:val="11"/>
        </w:numPr>
        <w:spacing w:line="360" w:lineRule="auto"/>
        <w:rPr>
          <w:color w:val="000000"/>
          <w:sz w:val="24"/>
        </w:rPr>
      </w:pPr>
      <w:r>
        <w:rPr>
          <w:rFonts w:hAnsi="宋体"/>
          <w:color w:val="000000"/>
          <w:sz w:val="24"/>
        </w:rPr>
        <w:t>功率小于等于</w:t>
      </w:r>
      <w:r>
        <w:rPr>
          <w:color w:val="000000"/>
          <w:sz w:val="24"/>
        </w:rPr>
        <w:t>20W</w:t>
      </w:r>
      <w:r>
        <w:rPr>
          <w:rFonts w:hAnsi="宋体"/>
          <w:color w:val="000000"/>
          <w:sz w:val="24"/>
        </w:rPr>
        <w:t>；</w:t>
      </w:r>
    </w:p>
    <w:p>
      <w:pPr>
        <w:numPr>
          <w:ilvl w:val="0"/>
          <w:numId w:val="11"/>
        </w:numPr>
        <w:spacing w:line="360" w:lineRule="auto"/>
        <w:rPr>
          <w:color w:val="000000"/>
          <w:sz w:val="24"/>
        </w:rPr>
      </w:pPr>
      <w:r>
        <w:rPr>
          <w:rFonts w:hAnsi="宋体"/>
          <w:color w:val="000000"/>
          <w:sz w:val="24"/>
        </w:rPr>
        <w:t>额定工作电压</w:t>
      </w:r>
      <w:r>
        <w:rPr>
          <w:color w:val="000000"/>
          <w:sz w:val="24"/>
        </w:rPr>
        <w:t>:220V/50Hz±3Hz</w:t>
      </w:r>
      <w:r>
        <w:rPr>
          <w:rFonts w:hAnsi="宋体"/>
          <w:color w:val="000000"/>
          <w:sz w:val="24"/>
        </w:rPr>
        <w:t>；</w:t>
      </w:r>
    </w:p>
    <w:p>
      <w:pPr>
        <w:numPr>
          <w:ilvl w:val="0"/>
          <w:numId w:val="11"/>
        </w:numPr>
        <w:spacing w:line="360" w:lineRule="auto"/>
        <w:rPr>
          <w:color w:val="000000"/>
          <w:sz w:val="24"/>
        </w:rPr>
      </w:pPr>
      <w:r>
        <w:rPr>
          <w:rFonts w:hAnsi="宋体"/>
          <w:color w:val="000000"/>
          <w:sz w:val="24"/>
        </w:rPr>
        <w:t>亮度</w:t>
      </w:r>
      <w:r>
        <w:rPr>
          <w:color w:val="000000"/>
          <w:sz w:val="24"/>
        </w:rPr>
        <w:t>(cd):≥4000cd/</w:t>
      </w:r>
      <w:r>
        <w:rPr>
          <w:rFonts w:hAnsi="宋体"/>
          <w:color w:val="000000"/>
          <w:sz w:val="24"/>
        </w:rPr>
        <w:t>㎡；</w:t>
      </w:r>
    </w:p>
    <w:p>
      <w:pPr>
        <w:numPr>
          <w:ilvl w:val="0"/>
          <w:numId w:val="11"/>
        </w:numPr>
        <w:spacing w:line="360" w:lineRule="auto"/>
        <w:rPr>
          <w:color w:val="000000"/>
          <w:sz w:val="24"/>
        </w:rPr>
      </w:pPr>
      <w:r>
        <w:rPr>
          <w:rFonts w:hAnsi="宋体"/>
          <w:color w:val="000000"/>
          <w:sz w:val="24"/>
        </w:rPr>
        <w:t>防护等级</w:t>
      </w:r>
      <w:r>
        <w:rPr>
          <w:color w:val="000000"/>
          <w:sz w:val="24"/>
        </w:rPr>
        <w:t>:IP65</w:t>
      </w:r>
      <w:r>
        <w:rPr>
          <w:rFonts w:hAnsi="宋体"/>
          <w:color w:val="000000"/>
          <w:sz w:val="24"/>
        </w:rPr>
        <w:t>；</w:t>
      </w:r>
    </w:p>
    <w:p>
      <w:pPr>
        <w:numPr>
          <w:ilvl w:val="0"/>
          <w:numId w:val="13"/>
        </w:numPr>
        <w:ind w:firstLine="480"/>
        <w:rPr>
          <w:rFonts w:hint="eastAsia" w:ascii="宋体" w:hAnsi="宋体" w:eastAsia="宋体" w:cs="宋体"/>
          <w:szCs w:val="22"/>
        </w:rPr>
      </w:pPr>
      <w:r>
        <w:rPr>
          <w:rFonts w:hint="eastAsia" w:ascii="宋体" w:hAnsi="宋体" w:eastAsia="宋体" w:cs="宋体"/>
          <w:szCs w:val="22"/>
        </w:rPr>
        <w:t>人行信号灯</w:t>
      </w:r>
    </w:p>
    <w:p>
      <w:pPr>
        <w:numPr>
          <w:ilvl w:val="0"/>
          <w:numId w:val="11"/>
        </w:numPr>
        <w:spacing w:line="360" w:lineRule="auto"/>
        <w:rPr>
          <w:color w:val="000000"/>
          <w:sz w:val="24"/>
        </w:rPr>
      </w:pPr>
      <w:r>
        <w:rPr>
          <w:rFonts w:hAnsi="宋体"/>
          <w:color w:val="000000"/>
          <w:sz w:val="24"/>
        </w:rPr>
        <w:t>信号灯单灯的光学性能、工作条件、机械强度、电气性能均符合国家标准《道路交通信号灯》</w:t>
      </w:r>
      <w:r>
        <w:rPr>
          <w:color w:val="000000"/>
          <w:sz w:val="24"/>
        </w:rPr>
        <w:t xml:space="preserve">(GB14887-2011)1 </w:t>
      </w:r>
      <w:r>
        <w:rPr>
          <w:rFonts w:hAnsi="宋体"/>
          <w:color w:val="000000"/>
          <w:sz w:val="24"/>
        </w:rPr>
        <w:t>类</w:t>
      </w:r>
      <w:r>
        <w:rPr>
          <w:color w:val="000000"/>
          <w:sz w:val="24"/>
        </w:rPr>
        <w:t xml:space="preserve">1 </w:t>
      </w:r>
      <w:r>
        <w:rPr>
          <w:rFonts w:hAnsi="宋体"/>
          <w:color w:val="000000"/>
          <w:sz w:val="24"/>
        </w:rPr>
        <w:t>级（</w:t>
      </w:r>
      <w:r>
        <w:rPr>
          <w:color w:val="000000"/>
          <w:sz w:val="24"/>
        </w:rPr>
        <w:t xml:space="preserve">W </w:t>
      </w:r>
      <w:r>
        <w:rPr>
          <w:rFonts w:hAnsi="宋体"/>
          <w:color w:val="000000"/>
          <w:sz w:val="24"/>
        </w:rPr>
        <w:t>型）全部技术规定，并通过公安部交通安全产品质量监督检测中心的检测；</w:t>
      </w:r>
    </w:p>
    <w:p>
      <w:pPr>
        <w:numPr>
          <w:ilvl w:val="0"/>
          <w:numId w:val="11"/>
        </w:numPr>
        <w:spacing w:line="360" w:lineRule="auto"/>
        <w:rPr>
          <w:color w:val="000000"/>
          <w:sz w:val="24"/>
        </w:rPr>
      </w:pPr>
      <w:r>
        <w:rPr>
          <w:color w:val="000000"/>
          <w:szCs w:val="28"/>
        </w:rPr>
        <w:t>φ</w:t>
      </w:r>
      <w:r>
        <w:rPr>
          <w:color w:val="000000"/>
          <w:sz w:val="24"/>
        </w:rPr>
        <w:t>300</w:t>
      </w:r>
      <w:r>
        <w:rPr>
          <w:rFonts w:hAnsi="宋体"/>
          <w:color w:val="000000"/>
          <w:sz w:val="24"/>
        </w:rPr>
        <w:t>型两联体红绿人行图案信号灯由两个单色</w:t>
      </w:r>
      <w:r>
        <w:rPr>
          <w:color w:val="000000"/>
          <w:sz w:val="24"/>
        </w:rPr>
        <w:t>(</w:t>
      </w:r>
      <w:r>
        <w:rPr>
          <w:rFonts w:hAnsi="宋体"/>
          <w:color w:val="000000"/>
          <w:sz w:val="24"/>
        </w:rPr>
        <w:t>红、绿</w:t>
      </w:r>
      <w:r>
        <w:rPr>
          <w:color w:val="000000"/>
          <w:sz w:val="24"/>
        </w:rPr>
        <w:t>)</w:t>
      </w:r>
      <w:r>
        <w:rPr>
          <w:rFonts w:hAnsi="宋体"/>
          <w:color w:val="000000"/>
          <w:sz w:val="24"/>
        </w:rPr>
        <w:t>单元信号灯组合而成，单元信号灯以色片直径及外形尺寸标准规定为</w:t>
      </w:r>
      <w:r>
        <w:rPr>
          <w:color w:val="000000"/>
          <w:sz w:val="24"/>
        </w:rPr>
        <w:t>Ф300mm</w:t>
      </w:r>
      <w:r>
        <w:rPr>
          <w:rFonts w:hAnsi="宋体"/>
          <w:color w:val="000000"/>
          <w:sz w:val="24"/>
        </w:rPr>
        <w:t>；</w:t>
      </w:r>
    </w:p>
    <w:p>
      <w:pPr>
        <w:numPr>
          <w:ilvl w:val="0"/>
          <w:numId w:val="11"/>
        </w:numPr>
        <w:spacing w:line="360" w:lineRule="auto"/>
        <w:rPr>
          <w:color w:val="000000"/>
          <w:sz w:val="24"/>
        </w:rPr>
      </w:pPr>
      <w:r>
        <w:rPr>
          <w:rFonts w:hAnsi="宋体"/>
          <w:color w:val="000000"/>
          <w:sz w:val="24"/>
        </w:rPr>
        <w:t>其中红色信号为静止图案，绿色信号为动态图案；</w:t>
      </w:r>
    </w:p>
    <w:p>
      <w:pPr>
        <w:numPr>
          <w:ilvl w:val="0"/>
          <w:numId w:val="11"/>
        </w:numPr>
        <w:spacing w:line="360" w:lineRule="auto"/>
        <w:rPr>
          <w:color w:val="000000"/>
          <w:sz w:val="24"/>
        </w:rPr>
      </w:pPr>
      <w:r>
        <w:rPr>
          <w:rFonts w:hAnsi="宋体"/>
          <w:color w:val="000000"/>
          <w:sz w:val="24"/>
        </w:rPr>
        <w:t>使用寿命不少于</w:t>
      </w:r>
      <w:r>
        <w:rPr>
          <w:color w:val="000000"/>
          <w:sz w:val="24"/>
        </w:rPr>
        <w:t xml:space="preserve">50000 </w:t>
      </w:r>
      <w:r>
        <w:rPr>
          <w:rFonts w:hAnsi="宋体"/>
          <w:color w:val="000000"/>
          <w:sz w:val="24"/>
        </w:rPr>
        <w:t>小时；</w:t>
      </w:r>
    </w:p>
    <w:p>
      <w:pPr>
        <w:numPr>
          <w:ilvl w:val="0"/>
          <w:numId w:val="11"/>
        </w:numPr>
        <w:spacing w:line="360" w:lineRule="auto"/>
        <w:rPr>
          <w:color w:val="000000"/>
          <w:sz w:val="24"/>
        </w:rPr>
      </w:pPr>
      <w:r>
        <w:rPr>
          <w:rFonts w:hAnsi="宋体"/>
          <w:color w:val="000000"/>
          <w:sz w:val="24"/>
        </w:rPr>
        <w:t>功率小于等于</w:t>
      </w:r>
      <w:r>
        <w:rPr>
          <w:color w:val="000000"/>
          <w:sz w:val="24"/>
        </w:rPr>
        <w:t>15W</w:t>
      </w:r>
      <w:r>
        <w:rPr>
          <w:rFonts w:hAnsi="宋体"/>
          <w:color w:val="000000"/>
          <w:sz w:val="24"/>
        </w:rPr>
        <w:t>；</w:t>
      </w:r>
    </w:p>
    <w:p>
      <w:pPr>
        <w:numPr>
          <w:ilvl w:val="0"/>
          <w:numId w:val="11"/>
        </w:numPr>
        <w:spacing w:line="360" w:lineRule="auto"/>
        <w:rPr>
          <w:color w:val="000000"/>
          <w:sz w:val="24"/>
        </w:rPr>
      </w:pPr>
      <w:r>
        <w:rPr>
          <w:rFonts w:hAnsi="宋体"/>
          <w:color w:val="000000"/>
          <w:sz w:val="24"/>
        </w:rPr>
        <w:t>额定工作电压</w:t>
      </w:r>
      <w:r>
        <w:rPr>
          <w:color w:val="000000"/>
          <w:sz w:val="24"/>
        </w:rPr>
        <w:t>:220V/50Hz±3Hz</w:t>
      </w:r>
      <w:r>
        <w:rPr>
          <w:rFonts w:hAnsi="宋体"/>
          <w:color w:val="000000"/>
          <w:sz w:val="24"/>
        </w:rPr>
        <w:t>；</w:t>
      </w:r>
    </w:p>
    <w:p>
      <w:pPr>
        <w:numPr>
          <w:ilvl w:val="0"/>
          <w:numId w:val="11"/>
        </w:numPr>
        <w:spacing w:line="360" w:lineRule="auto"/>
        <w:rPr>
          <w:color w:val="000000"/>
          <w:sz w:val="24"/>
        </w:rPr>
      </w:pPr>
      <w:r>
        <w:rPr>
          <w:rFonts w:hAnsi="宋体"/>
          <w:color w:val="000000"/>
          <w:sz w:val="24"/>
        </w:rPr>
        <w:t>亮度</w:t>
      </w:r>
      <w:r>
        <w:rPr>
          <w:color w:val="000000"/>
          <w:sz w:val="24"/>
        </w:rPr>
        <w:t>(cd):≥4000cd/</w:t>
      </w:r>
      <w:r>
        <w:rPr>
          <w:rFonts w:hAnsi="宋体"/>
          <w:color w:val="000000"/>
          <w:sz w:val="24"/>
        </w:rPr>
        <w:t>㎡；</w:t>
      </w:r>
    </w:p>
    <w:p>
      <w:pPr>
        <w:numPr>
          <w:ilvl w:val="0"/>
          <w:numId w:val="11"/>
        </w:numPr>
        <w:spacing w:line="360" w:lineRule="auto"/>
        <w:rPr>
          <w:color w:val="000000"/>
          <w:sz w:val="24"/>
        </w:rPr>
      </w:pPr>
      <w:r>
        <w:rPr>
          <w:rFonts w:hAnsi="宋体"/>
          <w:color w:val="000000"/>
          <w:sz w:val="24"/>
        </w:rPr>
        <w:t>防护等级</w:t>
      </w:r>
      <w:r>
        <w:rPr>
          <w:color w:val="000000"/>
          <w:sz w:val="24"/>
        </w:rPr>
        <w:t>:IP65</w:t>
      </w:r>
      <w:r>
        <w:rPr>
          <w:rFonts w:hAnsi="宋体"/>
          <w:color w:val="000000"/>
          <w:sz w:val="24"/>
        </w:rPr>
        <w:t>；</w:t>
      </w:r>
    </w:p>
    <w:p>
      <w:pPr>
        <w:numPr>
          <w:ilvl w:val="0"/>
          <w:numId w:val="13"/>
        </w:numPr>
        <w:ind w:firstLine="480"/>
        <w:rPr>
          <w:rFonts w:hint="eastAsia" w:ascii="宋体" w:hAnsi="宋体" w:eastAsia="宋体" w:cs="宋体"/>
          <w:szCs w:val="22"/>
        </w:rPr>
      </w:pPr>
      <w:r>
        <w:rPr>
          <w:rFonts w:hint="eastAsia" w:ascii="宋体" w:hAnsi="宋体" w:eastAsia="宋体" w:cs="宋体"/>
          <w:szCs w:val="22"/>
        </w:rPr>
        <w:t>交通信号控制机</w:t>
      </w:r>
    </w:p>
    <w:p>
      <w:pPr>
        <w:numPr>
          <w:ilvl w:val="0"/>
          <w:numId w:val="14"/>
        </w:numPr>
        <w:spacing w:line="360" w:lineRule="auto"/>
        <w:ind w:left="0" w:leftChars="0" w:firstLine="425" w:firstLineChars="0"/>
        <w:rPr>
          <w:rFonts w:hint="eastAsia" w:ascii="宋体" w:hAnsi="宋体"/>
          <w:sz w:val="24"/>
          <w:szCs w:val="24"/>
        </w:rPr>
      </w:pPr>
      <w:r>
        <w:rPr>
          <w:rFonts w:hint="eastAsia" w:ascii="宋体" w:hAnsi="宋体"/>
          <w:sz w:val="24"/>
          <w:szCs w:val="24"/>
        </w:rPr>
        <w:t>交通信号控制机具体规格、型号最终以建设单位或主管部门确定。</w:t>
      </w:r>
    </w:p>
    <w:p>
      <w:pPr>
        <w:numPr>
          <w:ilvl w:val="0"/>
          <w:numId w:val="14"/>
        </w:numPr>
        <w:spacing w:line="360" w:lineRule="auto"/>
        <w:ind w:left="0" w:leftChars="0" w:firstLine="425" w:firstLineChars="0"/>
        <w:rPr>
          <w:rFonts w:hint="eastAsia" w:ascii="宋体" w:hAnsi="宋体"/>
          <w:sz w:val="24"/>
          <w:szCs w:val="24"/>
        </w:rPr>
      </w:pPr>
      <w:r>
        <w:rPr>
          <w:rFonts w:hint="eastAsia" w:ascii="宋体" w:hAnsi="宋体"/>
          <w:sz w:val="24"/>
          <w:szCs w:val="24"/>
        </w:rPr>
        <w:t>采用协调控制式控制机，具备感应控制式信号机的全部功能，带有通信接口，可与上位机或其它信号机联接，构成线协调或区域协调控制系统，协调式信号机的故障降级顺序可由上位机设定。</w:t>
      </w:r>
    </w:p>
    <w:p>
      <w:pPr>
        <w:numPr>
          <w:ilvl w:val="0"/>
          <w:numId w:val="11"/>
        </w:numPr>
        <w:tabs>
          <w:tab w:val="left" w:pos="1545"/>
        </w:tabs>
        <w:spacing w:line="360" w:lineRule="auto"/>
        <w:rPr>
          <w:color w:val="000000"/>
          <w:sz w:val="24"/>
        </w:rPr>
      </w:pPr>
      <w:r>
        <w:rPr>
          <w:color w:val="000000"/>
          <w:sz w:val="24"/>
        </w:rPr>
        <w:t>60</w:t>
      </w:r>
      <w:r>
        <w:rPr>
          <w:rFonts w:hAnsi="宋体"/>
          <w:color w:val="000000"/>
          <w:sz w:val="24"/>
        </w:rPr>
        <w:t>个独立的信号灯输出端子；</w:t>
      </w:r>
    </w:p>
    <w:p>
      <w:pPr>
        <w:numPr>
          <w:ilvl w:val="0"/>
          <w:numId w:val="11"/>
        </w:numPr>
        <w:tabs>
          <w:tab w:val="left" w:pos="1545"/>
        </w:tabs>
        <w:spacing w:line="360" w:lineRule="auto"/>
        <w:rPr>
          <w:color w:val="000000"/>
          <w:sz w:val="24"/>
        </w:rPr>
      </w:pPr>
      <w:r>
        <w:rPr>
          <w:rFonts w:hAnsi="宋体"/>
          <w:color w:val="000000"/>
          <w:sz w:val="24"/>
        </w:rPr>
        <w:t>具有手动、自动和远程控制</w:t>
      </w:r>
      <w:r>
        <w:rPr>
          <w:color w:val="000000"/>
          <w:sz w:val="24"/>
        </w:rPr>
        <w:t>3</w:t>
      </w:r>
      <w:r>
        <w:rPr>
          <w:rFonts w:hAnsi="宋体"/>
          <w:color w:val="000000"/>
          <w:sz w:val="24"/>
        </w:rPr>
        <w:t>种控制方式；</w:t>
      </w:r>
    </w:p>
    <w:p>
      <w:pPr>
        <w:numPr>
          <w:ilvl w:val="0"/>
          <w:numId w:val="11"/>
        </w:numPr>
        <w:tabs>
          <w:tab w:val="left" w:pos="1545"/>
        </w:tabs>
        <w:spacing w:line="360" w:lineRule="auto"/>
        <w:rPr>
          <w:color w:val="000000"/>
          <w:sz w:val="24"/>
        </w:rPr>
      </w:pPr>
      <w:r>
        <w:rPr>
          <w:rFonts w:hAnsi="宋体"/>
          <w:color w:val="000000"/>
          <w:sz w:val="24"/>
        </w:rPr>
        <w:t>可实现定时多方案、无缆协调、自适应、区域协调等控制功能；</w:t>
      </w:r>
    </w:p>
    <w:p>
      <w:pPr>
        <w:numPr>
          <w:ilvl w:val="0"/>
          <w:numId w:val="11"/>
        </w:numPr>
        <w:tabs>
          <w:tab w:val="left" w:pos="1545"/>
        </w:tabs>
        <w:spacing w:line="360" w:lineRule="auto"/>
        <w:rPr>
          <w:color w:val="000000"/>
          <w:sz w:val="24"/>
        </w:rPr>
      </w:pPr>
      <w:r>
        <w:rPr>
          <w:rFonts w:hAnsi="宋体"/>
          <w:color w:val="000000"/>
          <w:sz w:val="24"/>
        </w:rPr>
        <w:t>在线修改日期、时间、日时方案、配时方案等控制参数；</w:t>
      </w:r>
    </w:p>
    <w:p>
      <w:pPr>
        <w:numPr>
          <w:ilvl w:val="0"/>
          <w:numId w:val="11"/>
        </w:numPr>
        <w:tabs>
          <w:tab w:val="left" w:pos="1545"/>
        </w:tabs>
        <w:spacing w:line="360" w:lineRule="auto"/>
        <w:rPr>
          <w:color w:val="000000"/>
          <w:sz w:val="24"/>
        </w:rPr>
      </w:pPr>
      <w:r>
        <w:rPr>
          <w:rFonts w:hAnsi="宋体"/>
          <w:color w:val="000000"/>
          <w:sz w:val="24"/>
        </w:rPr>
        <w:t>每天可划分</w:t>
      </w:r>
      <w:r>
        <w:rPr>
          <w:color w:val="000000"/>
          <w:sz w:val="24"/>
        </w:rPr>
        <w:t>36</w:t>
      </w:r>
      <w:r>
        <w:rPr>
          <w:rFonts w:hAnsi="宋体"/>
          <w:color w:val="000000"/>
          <w:sz w:val="24"/>
        </w:rPr>
        <w:t>个时段；可存储</w:t>
      </w:r>
      <w:r>
        <w:rPr>
          <w:color w:val="000000"/>
          <w:sz w:val="24"/>
        </w:rPr>
        <w:t>7</w:t>
      </w:r>
      <w:r>
        <w:rPr>
          <w:rFonts w:hAnsi="宋体"/>
          <w:color w:val="000000"/>
          <w:sz w:val="24"/>
        </w:rPr>
        <w:t>种日时方案</w:t>
      </w:r>
      <w:r>
        <w:rPr>
          <w:color w:val="000000"/>
          <w:sz w:val="24"/>
        </w:rPr>
        <w:t>,42</w:t>
      </w:r>
      <w:r>
        <w:rPr>
          <w:rFonts w:hAnsi="宋体"/>
          <w:color w:val="000000"/>
          <w:sz w:val="24"/>
        </w:rPr>
        <w:t>种配时方案；</w:t>
      </w:r>
    </w:p>
    <w:p>
      <w:pPr>
        <w:numPr>
          <w:ilvl w:val="0"/>
          <w:numId w:val="11"/>
        </w:numPr>
        <w:tabs>
          <w:tab w:val="left" w:pos="1545"/>
        </w:tabs>
        <w:spacing w:line="360" w:lineRule="auto"/>
        <w:rPr>
          <w:color w:val="000000"/>
          <w:sz w:val="24"/>
        </w:rPr>
      </w:pPr>
      <w:r>
        <w:rPr>
          <w:rFonts w:hAnsi="宋体"/>
          <w:color w:val="000000"/>
          <w:sz w:val="24"/>
        </w:rPr>
        <w:t>在线显示各相位状态；</w:t>
      </w:r>
    </w:p>
    <w:p>
      <w:pPr>
        <w:numPr>
          <w:ilvl w:val="0"/>
          <w:numId w:val="11"/>
        </w:numPr>
        <w:tabs>
          <w:tab w:val="left" w:pos="1545"/>
        </w:tabs>
        <w:spacing w:line="360" w:lineRule="auto"/>
        <w:rPr>
          <w:color w:val="000000"/>
          <w:sz w:val="24"/>
        </w:rPr>
      </w:pPr>
      <w:r>
        <w:rPr>
          <w:rFonts w:hAnsi="宋体"/>
          <w:color w:val="000000"/>
          <w:sz w:val="24"/>
        </w:rPr>
        <w:t>相位冲突监视和控制，信号灯故障检测及报警；</w:t>
      </w:r>
    </w:p>
    <w:p>
      <w:pPr>
        <w:numPr>
          <w:ilvl w:val="0"/>
          <w:numId w:val="11"/>
        </w:numPr>
        <w:tabs>
          <w:tab w:val="left" w:pos="1545"/>
        </w:tabs>
        <w:spacing w:line="360" w:lineRule="auto"/>
        <w:rPr>
          <w:color w:val="000000"/>
          <w:sz w:val="24"/>
        </w:rPr>
      </w:pPr>
      <w:r>
        <w:rPr>
          <w:rFonts w:hAnsi="宋体"/>
          <w:color w:val="000000"/>
          <w:sz w:val="24"/>
        </w:rPr>
        <w:t>提供二个</w:t>
      </w:r>
      <w:r>
        <w:rPr>
          <w:color w:val="000000"/>
          <w:sz w:val="24"/>
        </w:rPr>
        <w:t>EIA RS-232C</w:t>
      </w:r>
      <w:r>
        <w:rPr>
          <w:rFonts w:hAnsi="宋体"/>
          <w:color w:val="000000"/>
          <w:sz w:val="24"/>
        </w:rPr>
        <w:t>（</w:t>
      </w:r>
      <w:r>
        <w:rPr>
          <w:color w:val="000000"/>
          <w:sz w:val="24"/>
        </w:rPr>
        <w:t>DB-9</w:t>
      </w:r>
      <w:r>
        <w:rPr>
          <w:rFonts w:hAnsi="宋体"/>
          <w:color w:val="000000"/>
          <w:sz w:val="24"/>
        </w:rPr>
        <w:t>）和一个</w:t>
      </w:r>
      <w:r>
        <w:rPr>
          <w:color w:val="000000"/>
          <w:sz w:val="24"/>
        </w:rPr>
        <w:t xml:space="preserve">10/100 Base-T Ethernet </w:t>
      </w:r>
      <w:r>
        <w:rPr>
          <w:rFonts w:hAnsi="宋体"/>
          <w:color w:val="000000"/>
          <w:sz w:val="24"/>
        </w:rPr>
        <w:t>以太网接口（</w:t>
      </w:r>
      <w:r>
        <w:rPr>
          <w:color w:val="000000"/>
          <w:sz w:val="24"/>
        </w:rPr>
        <w:t>RJ-45</w:t>
      </w:r>
      <w:r>
        <w:rPr>
          <w:rFonts w:hAnsi="宋体"/>
          <w:color w:val="000000"/>
          <w:sz w:val="24"/>
        </w:rPr>
        <w:t>）通讯接口；</w:t>
      </w:r>
    </w:p>
    <w:p>
      <w:pPr>
        <w:numPr>
          <w:ilvl w:val="0"/>
          <w:numId w:val="11"/>
        </w:numPr>
        <w:tabs>
          <w:tab w:val="left" w:pos="1545"/>
        </w:tabs>
        <w:spacing w:line="360" w:lineRule="auto"/>
        <w:rPr>
          <w:color w:val="000000"/>
          <w:sz w:val="24"/>
        </w:rPr>
      </w:pPr>
      <w:r>
        <w:rPr>
          <w:rFonts w:hAnsi="宋体"/>
          <w:color w:val="000000"/>
          <w:sz w:val="24"/>
        </w:rPr>
        <w:t>适合于单路口控制和主干道控制，出现故障时系统可自动降级使用；</w:t>
      </w:r>
    </w:p>
    <w:p>
      <w:pPr>
        <w:numPr>
          <w:ilvl w:val="0"/>
          <w:numId w:val="11"/>
        </w:numPr>
        <w:tabs>
          <w:tab w:val="left" w:pos="1545"/>
        </w:tabs>
        <w:spacing w:line="360" w:lineRule="auto"/>
        <w:rPr>
          <w:color w:val="000000"/>
          <w:sz w:val="24"/>
        </w:rPr>
      </w:pPr>
      <w:r>
        <w:rPr>
          <w:rFonts w:hAnsi="宋体"/>
          <w:color w:val="000000"/>
          <w:sz w:val="24"/>
        </w:rPr>
        <w:t>可连接</w:t>
      </w:r>
      <w:r>
        <w:rPr>
          <w:color w:val="000000"/>
          <w:sz w:val="24"/>
        </w:rPr>
        <w:t>16</w:t>
      </w:r>
      <w:r>
        <w:rPr>
          <w:rFonts w:hAnsi="宋体"/>
          <w:color w:val="000000"/>
          <w:sz w:val="24"/>
        </w:rPr>
        <w:t>路车辆检测器；</w:t>
      </w:r>
    </w:p>
    <w:p>
      <w:pPr>
        <w:numPr>
          <w:ilvl w:val="0"/>
          <w:numId w:val="11"/>
        </w:numPr>
        <w:spacing w:line="360" w:lineRule="auto"/>
        <w:rPr>
          <w:color w:val="000000"/>
          <w:sz w:val="24"/>
        </w:rPr>
      </w:pPr>
      <w:r>
        <w:rPr>
          <w:rFonts w:hAnsi="宋体"/>
          <w:color w:val="000000"/>
          <w:sz w:val="24"/>
        </w:rPr>
        <w:t>控制最大相位数：</w:t>
      </w:r>
      <w:r>
        <w:rPr>
          <w:color w:val="000000"/>
          <w:sz w:val="24"/>
        </w:rPr>
        <w:t xml:space="preserve"> 20</w:t>
      </w:r>
      <w:r>
        <w:rPr>
          <w:rFonts w:hAnsi="宋体"/>
          <w:color w:val="000000"/>
          <w:sz w:val="24"/>
        </w:rPr>
        <w:t>个；</w:t>
      </w:r>
    </w:p>
    <w:p>
      <w:pPr>
        <w:numPr>
          <w:ilvl w:val="0"/>
          <w:numId w:val="11"/>
        </w:numPr>
        <w:spacing w:line="360" w:lineRule="auto"/>
        <w:rPr>
          <w:color w:val="000000"/>
          <w:sz w:val="24"/>
        </w:rPr>
      </w:pPr>
      <w:r>
        <w:rPr>
          <w:rFonts w:hAnsi="宋体"/>
          <w:color w:val="000000"/>
          <w:sz w:val="24"/>
        </w:rPr>
        <w:t>驱动能力：</w:t>
      </w:r>
      <w:r>
        <w:rPr>
          <w:color w:val="000000"/>
          <w:sz w:val="24"/>
        </w:rPr>
        <w:t xml:space="preserve"> 500W/220V/</w:t>
      </w:r>
      <w:r>
        <w:rPr>
          <w:rFonts w:hAnsi="宋体"/>
          <w:color w:val="000000"/>
          <w:sz w:val="24"/>
        </w:rPr>
        <w:t>路；</w:t>
      </w:r>
    </w:p>
    <w:p>
      <w:pPr>
        <w:numPr>
          <w:ilvl w:val="0"/>
          <w:numId w:val="11"/>
        </w:numPr>
        <w:spacing w:line="360" w:lineRule="auto"/>
        <w:rPr>
          <w:color w:val="000000"/>
          <w:sz w:val="24"/>
        </w:rPr>
      </w:pPr>
      <w:r>
        <w:rPr>
          <w:rFonts w:hAnsi="宋体"/>
          <w:color w:val="000000"/>
          <w:sz w:val="24"/>
        </w:rPr>
        <w:t>工作电压：</w:t>
      </w:r>
      <w:r>
        <w:rPr>
          <w:color w:val="000000"/>
          <w:sz w:val="24"/>
        </w:rPr>
        <w:t xml:space="preserve">  AC176V</w:t>
      </w:r>
      <w:r>
        <w:rPr>
          <w:rFonts w:hAnsi="宋体"/>
          <w:color w:val="000000"/>
          <w:sz w:val="24"/>
        </w:rPr>
        <w:t>～</w:t>
      </w:r>
      <w:r>
        <w:rPr>
          <w:color w:val="000000"/>
          <w:sz w:val="24"/>
        </w:rPr>
        <w:t>264V</w:t>
      </w:r>
      <w:r>
        <w:rPr>
          <w:rFonts w:hAnsi="宋体"/>
          <w:color w:val="000000"/>
          <w:sz w:val="24"/>
        </w:rPr>
        <w:t>；</w:t>
      </w:r>
    </w:p>
    <w:p>
      <w:pPr>
        <w:numPr>
          <w:ilvl w:val="0"/>
          <w:numId w:val="11"/>
        </w:numPr>
        <w:spacing w:line="360" w:lineRule="auto"/>
        <w:rPr>
          <w:color w:val="000000"/>
          <w:sz w:val="24"/>
        </w:rPr>
      </w:pPr>
      <w:r>
        <w:rPr>
          <w:rFonts w:hAnsi="宋体"/>
          <w:color w:val="000000"/>
          <w:sz w:val="24"/>
        </w:rPr>
        <w:t>绝缘等级：</w:t>
      </w:r>
      <w:r>
        <w:rPr>
          <w:color w:val="000000"/>
          <w:sz w:val="24"/>
        </w:rPr>
        <w:t xml:space="preserve"> </w:t>
      </w:r>
      <w:r>
        <w:rPr>
          <w:rFonts w:hAnsi="宋体"/>
          <w:color w:val="000000"/>
          <w:sz w:val="24"/>
        </w:rPr>
        <w:t>≧</w:t>
      </w:r>
      <w:r>
        <w:rPr>
          <w:color w:val="000000"/>
          <w:sz w:val="24"/>
        </w:rPr>
        <w:t>10MΩ</w:t>
      </w:r>
      <w:r>
        <w:rPr>
          <w:rFonts w:hAnsi="宋体"/>
          <w:color w:val="000000"/>
          <w:sz w:val="24"/>
        </w:rPr>
        <w:t>；</w:t>
      </w:r>
    </w:p>
    <w:p>
      <w:pPr>
        <w:numPr>
          <w:ilvl w:val="0"/>
          <w:numId w:val="11"/>
        </w:numPr>
        <w:spacing w:line="360" w:lineRule="auto"/>
        <w:rPr>
          <w:color w:val="000000"/>
          <w:sz w:val="24"/>
        </w:rPr>
      </w:pPr>
      <w:r>
        <w:rPr>
          <w:rFonts w:hAnsi="宋体"/>
          <w:color w:val="000000"/>
          <w:sz w:val="24"/>
        </w:rPr>
        <w:t>耐压等级</w:t>
      </w:r>
      <w:r>
        <w:rPr>
          <w:color w:val="000000"/>
          <w:sz w:val="24"/>
        </w:rPr>
        <w:t>:  1500VAC  50HZ</w:t>
      </w:r>
      <w:r>
        <w:rPr>
          <w:rFonts w:hAnsi="宋体"/>
          <w:color w:val="000000"/>
          <w:sz w:val="24"/>
        </w:rPr>
        <w:t>；</w:t>
      </w:r>
    </w:p>
    <w:p>
      <w:pPr>
        <w:numPr>
          <w:ilvl w:val="0"/>
          <w:numId w:val="11"/>
        </w:numPr>
        <w:spacing w:line="360" w:lineRule="auto"/>
        <w:rPr>
          <w:color w:val="000000"/>
          <w:sz w:val="24"/>
        </w:rPr>
      </w:pPr>
      <w:r>
        <w:rPr>
          <w:rFonts w:hAnsi="宋体"/>
          <w:color w:val="000000"/>
          <w:sz w:val="24"/>
        </w:rPr>
        <w:t>工作环境温度：</w:t>
      </w:r>
      <w:r>
        <w:rPr>
          <w:color w:val="000000"/>
          <w:sz w:val="24"/>
        </w:rPr>
        <w:t xml:space="preserve"> -40</w:t>
      </w:r>
      <w:r>
        <w:rPr>
          <w:rFonts w:hAnsi="宋体"/>
          <w:color w:val="000000"/>
          <w:sz w:val="24"/>
        </w:rPr>
        <w:t>℃～</w:t>
      </w:r>
      <w:r>
        <w:rPr>
          <w:color w:val="000000"/>
          <w:sz w:val="24"/>
        </w:rPr>
        <w:t>70</w:t>
      </w:r>
      <w:r>
        <w:rPr>
          <w:rFonts w:hAnsi="宋体"/>
          <w:color w:val="000000"/>
          <w:sz w:val="24"/>
        </w:rPr>
        <w:t>℃；</w:t>
      </w:r>
    </w:p>
    <w:p>
      <w:pPr>
        <w:numPr>
          <w:ilvl w:val="0"/>
          <w:numId w:val="11"/>
        </w:numPr>
        <w:spacing w:line="360" w:lineRule="auto"/>
        <w:rPr>
          <w:color w:val="000000"/>
          <w:sz w:val="24"/>
        </w:rPr>
      </w:pPr>
      <w:r>
        <w:rPr>
          <w:rFonts w:hAnsi="宋体"/>
          <w:color w:val="000000"/>
          <w:sz w:val="24"/>
        </w:rPr>
        <w:t>工作环境相对湿度：</w:t>
      </w:r>
      <w:r>
        <w:rPr>
          <w:color w:val="000000"/>
          <w:sz w:val="24"/>
        </w:rPr>
        <w:t>20</w:t>
      </w:r>
      <w:r>
        <w:rPr>
          <w:rFonts w:hAnsi="宋体"/>
          <w:color w:val="000000"/>
          <w:sz w:val="24"/>
        </w:rPr>
        <w:t>～</w:t>
      </w:r>
      <w:r>
        <w:rPr>
          <w:color w:val="000000"/>
          <w:sz w:val="24"/>
        </w:rPr>
        <w:t>95%</w:t>
      </w:r>
      <w:r>
        <w:rPr>
          <w:rFonts w:hAnsi="宋体"/>
          <w:color w:val="000000"/>
          <w:sz w:val="24"/>
        </w:rPr>
        <w:t>；</w:t>
      </w:r>
    </w:p>
    <w:p>
      <w:pPr>
        <w:numPr>
          <w:ilvl w:val="0"/>
          <w:numId w:val="13"/>
        </w:numPr>
        <w:ind w:firstLine="480"/>
        <w:rPr>
          <w:rFonts w:hint="eastAsia" w:ascii="宋体" w:hAnsi="宋体" w:eastAsia="宋体" w:cs="宋体"/>
          <w:szCs w:val="22"/>
        </w:rPr>
      </w:pPr>
      <w:r>
        <w:rPr>
          <w:rFonts w:hint="eastAsia" w:ascii="宋体" w:hAnsi="宋体" w:eastAsia="宋体" w:cs="宋体"/>
          <w:szCs w:val="22"/>
        </w:rPr>
        <w:t>线缆材料</w:t>
      </w:r>
    </w:p>
    <w:p>
      <w:pPr>
        <w:numPr>
          <w:ilvl w:val="0"/>
          <w:numId w:val="11"/>
        </w:numPr>
        <w:spacing w:line="360" w:lineRule="auto"/>
        <w:rPr>
          <w:color w:val="000000"/>
          <w:sz w:val="24"/>
        </w:rPr>
      </w:pPr>
      <w:r>
        <w:rPr>
          <w:rFonts w:hAnsi="宋体"/>
          <w:color w:val="000000"/>
          <w:sz w:val="24"/>
        </w:rPr>
        <w:t>电缆生产厂家应具有《中国国家强制性产品认证证书（</w:t>
      </w:r>
      <w:r>
        <w:rPr>
          <w:color w:val="000000"/>
          <w:sz w:val="24"/>
        </w:rPr>
        <w:t xml:space="preserve">3C </w:t>
      </w:r>
      <w:r>
        <w:rPr>
          <w:rFonts w:hAnsi="宋体"/>
          <w:color w:val="000000"/>
          <w:sz w:val="24"/>
        </w:rPr>
        <w:t>认证）》以及质检部门产品检验报告。</w:t>
      </w:r>
    </w:p>
    <w:p>
      <w:pPr>
        <w:numPr>
          <w:ilvl w:val="0"/>
          <w:numId w:val="11"/>
        </w:numPr>
        <w:spacing w:line="360" w:lineRule="auto"/>
        <w:rPr>
          <w:color w:val="000000"/>
          <w:sz w:val="24"/>
        </w:rPr>
      </w:pPr>
      <w:r>
        <w:rPr>
          <w:rFonts w:hAnsi="宋体"/>
          <w:color w:val="000000"/>
          <w:sz w:val="24"/>
        </w:rPr>
        <w:t>信号控制系统供电电缆应采用多支铜芯交联聚乙烯护套钢带铠装电力电缆（</w:t>
      </w:r>
      <w:r>
        <w:rPr>
          <w:color w:val="000000"/>
          <w:sz w:val="24"/>
        </w:rPr>
        <w:t>YJV</w:t>
      </w:r>
      <w:r>
        <w:rPr>
          <w:color w:val="000000"/>
          <w:sz w:val="24"/>
          <w:vertAlign w:val="subscript"/>
        </w:rPr>
        <w:t>22</w:t>
      </w:r>
      <w:r>
        <w:rPr>
          <w:rFonts w:hAnsi="宋体"/>
          <w:color w:val="000000"/>
          <w:sz w:val="24"/>
        </w:rPr>
        <w:t>）、线芯标称面积根据路口信号实际情况而定，详见设计图纸。</w:t>
      </w:r>
    </w:p>
    <w:p>
      <w:pPr>
        <w:numPr>
          <w:ilvl w:val="0"/>
          <w:numId w:val="11"/>
        </w:numPr>
        <w:spacing w:line="360" w:lineRule="auto"/>
        <w:rPr>
          <w:color w:val="000000"/>
          <w:sz w:val="24"/>
        </w:rPr>
      </w:pPr>
      <w:r>
        <w:rPr>
          <w:rFonts w:hAnsi="宋体"/>
          <w:color w:val="000000"/>
          <w:sz w:val="24"/>
        </w:rPr>
        <w:t>交通灯信号控制电缆应采用多支铜芯、铠装聚氯乙烯绝缘和护套（</w:t>
      </w:r>
      <w:r>
        <w:rPr>
          <w:color w:val="000000"/>
          <w:sz w:val="24"/>
        </w:rPr>
        <w:t>KVV</w:t>
      </w:r>
      <w:r>
        <w:rPr>
          <w:color w:val="000000"/>
          <w:sz w:val="24"/>
          <w:vertAlign w:val="subscript"/>
        </w:rPr>
        <w:t>22</w:t>
      </w:r>
      <w:r>
        <w:rPr>
          <w:rFonts w:hAnsi="宋体"/>
          <w:color w:val="000000"/>
          <w:sz w:val="24"/>
        </w:rPr>
        <w:t>）、线芯标称面积不少于</w:t>
      </w:r>
      <w:r>
        <w:rPr>
          <w:color w:val="000000"/>
          <w:sz w:val="24"/>
        </w:rPr>
        <w:t>2.5mm</w:t>
      </w:r>
      <w:r>
        <w:rPr>
          <w:color w:val="000000"/>
          <w:sz w:val="24"/>
          <w:vertAlign w:val="superscript"/>
        </w:rPr>
        <w:t>2</w:t>
      </w:r>
      <w:r>
        <w:rPr>
          <w:rFonts w:hAnsi="宋体"/>
          <w:color w:val="000000"/>
          <w:sz w:val="24"/>
        </w:rPr>
        <w:t>。</w:t>
      </w:r>
    </w:p>
    <w:p>
      <w:pPr>
        <w:numPr>
          <w:ilvl w:val="0"/>
          <w:numId w:val="11"/>
        </w:numPr>
        <w:spacing w:line="360" w:lineRule="auto"/>
        <w:rPr>
          <w:color w:val="000000"/>
          <w:sz w:val="24"/>
        </w:rPr>
      </w:pPr>
      <w:r>
        <w:rPr>
          <w:rFonts w:hAnsi="宋体"/>
          <w:color w:val="000000"/>
          <w:sz w:val="24"/>
        </w:rPr>
        <w:t>机动车信号灯采用十</w:t>
      </w:r>
      <w:r>
        <w:rPr>
          <w:rFonts w:hint="eastAsia" w:hAnsi="宋体"/>
          <w:color w:val="000000"/>
          <w:sz w:val="24"/>
        </w:rPr>
        <w:t>四</w:t>
      </w:r>
      <w:r>
        <w:rPr>
          <w:rFonts w:hAnsi="宋体"/>
          <w:color w:val="000000"/>
          <w:sz w:val="24"/>
        </w:rPr>
        <w:t>芯电缆连接，绿、黄、红颜色电缆分别连接信号灯对应的</w:t>
      </w:r>
      <w:r>
        <w:rPr>
          <w:color w:val="000000"/>
          <w:sz w:val="24"/>
        </w:rPr>
        <w:t xml:space="preserve">3 </w:t>
      </w:r>
      <w:r>
        <w:rPr>
          <w:rFonts w:hAnsi="宋体"/>
          <w:color w:val="000000"/>
          <w:sz w:val="24"/>
        </w:rPr>
        <w:t>种颜色；一处机动车信号灯采用一根电缆与信号机连接，中间严禁接驳。</w:t>
      </w:r>
    </w:p>
    <w:p>
      <w:pPr>
        <w:numPr>
          <w:ilvl w:val="0"/>
          <w:numId w:val="11"/>
        </w:numPr>
        <w:spacing w:line="360" w:lineRule="auto"/>
        <w:rPr>
          <w:color w:val="000000"/>
          <w:sz w:val="24"/>
        </w:rPr>
      </w:pPr>
      <w:r>
        <w:rPr>
          <w:rFonts w:hAnsi="宋体"/>
          <w:color w:val="000000"/>
          <w:sz w:val="24"/>
        </w:rPr>
        <w:t>行人信号灯采用五芯电缆连接；一组行人信号灯采用一根电缆与信号机连接，中间严禁接驳。</w:t>
      </w:r>
    </w:p>
    <w:p>
      <w:pPr>
        <w:numPr>
          <w:ilvl w:val="0"/>
          <w:numId w:val="11"/>
        </w:numPr>
        <w:spacing w:line="360" w:lineRule="auto"/>
        <w:rPr>
          <w:color w:val="000000"/>
          <w:sz w:val="24"/>
        </w:rPr>
      </w:pPr>
      <w:r>
        <w:rPr>
          <w:rFonts w:hAnsi="宋体"/>
          <w:color w:val="000000"/>
          <w:sz w:val="24"/>
        </w:rPr>
        <w:t>保护接地线应采用铜芯、黄绿间条聚氯乙烯绝缘（</w:t>
      </w:r>
      <w:r>
        <w:rPr>
          <w:color w:val="000000"/>
          <w:sz w:val="24"/>
        </w:rPr>
        <w:t>BVR</w:t>
      </w:r>
      <w:r>
        <w:rPr>
          <w:rFonts w:hAnsi="宋体"/>
          <w:color w:val="000000"/>
          <w:sz w:val="24"/>
        </w:rPr>
        <w:t>）、线芯标称面积不少于</w:t>
      </w:r>
      <w:r>
        <w:rPr>
          <w:color w:val="000000"/>
          <w:sz w:val="24"/>
        </w:rPr>
        <w:t>6mm</w:t>
      </w:r>
      <w:r>
        <w:rPr>
          <w:color w:val="000000"/>
          <w:sz w:val="24"/>
          <w:vertAlign w:val="superscript"/>
        </w:rPr>
        <w:t>2</w:t>
      </w:r>
      <w:r>
        <w:rPr>
          <w:color w:val="000000"/>
          <w:sz w:val="24"/>
        </w:rPr>
        <w:t xml:space="preserve"> </w:t>
      </w:r>
      <w:r>
        <w:rPr>
          <w:rFonts w:hAnsi="宋体"/>
          <w:color w:val="000000"/>
          <w:sz w:val="24"/>
        </w:rPr>
        <w:t>的单芯线。</w:t>
      </w:r>
    </w:p>
    <w:p>
      <w:pPr>
        <w:pStyle w:val="4"/>
        <w:bidi w:val="0"/>
        <w:ind w:left="720" w:leftChars="0" w:hanging="720" w:firstLineChars="0"/>
        <w:rPr>
          <w:rFonts w:hint="eastAsia"/>
        </w:rPr>
      </w:pPr>
      <w:r>
        <w:rPr>
          <w:rFonts w:hint="eastAsia"/>
        </w:rPr>
        <w:t>平交口处交通流划分</w:t>
      </w:r>
    </w:p>
    <w:p>
      <w:pPr>
        <w:tabs>
          <w:tab w:val="left" w:pos="360"/>
        </w:tabs>
        <w:spacing w:line="360" w:lineRule="auto"/>
        <w:ind w:firstLine="480" w:firstLineChars="200"/>
        <w:rPr>
          <w:rFonts w:hint="eastAsia" w:hAnsi="宋体"/>
          <w:color w:val="000000"/>
          <w:sz w:val="24"/>
        </w:rPr>
      </w:pPr>
      <w:r>
        <w:rPr>
          <w:rFonts w:hAnsi="宋体"/>
          <w:color w:val="000000"/>
          <w:sz w:val="24"/>
        </w:rPr>
        <w:t>平交口处机动车根据各个方向上的机动车信号灯提示行驶；非机动车和行人根据人行横道信号灯提示从人行道上通过</w:t>
      </w:r>
      <w:r>
        <w:rPr>
          <w:rFonts w:hint="eastAsia" w:hAnsi="宋体"/>
          <w:color w:val="000000"/>
          <w:sz w:val="24"/>
        </w:rPr>
        <w:t>。</w:t>
      </w:r>
    </w:p>
    <w:p>
      <w:pPr>
        <w:pStyle w:val="2"/>
        <w:bidi w:val="0"/>
        <w:ind w:left="432" w:leftChars="0" w:hanging="432" w:firstLineChars="0"/>
        <w:rPr>
          <w:rFonts w:hint="eastAsia"/>
          <w:lang w:val="en-US" w:eastAsia="zh-CN"/>
        </w:rPr>
      </w:pPr>
      <w:r>
        <w:rPr>
          <w:rFonts w:hint="eastAsia"/>
          <w:lang w:val="en-US" w:eastAsia="zh-CN"/>
        </w:rPr>
        <w:t>施工要求</w:t>
      </w:r>
    </w:p>
    <w:p>
      <w:pPr>
        <w:tabs>
          <w:tab w:val="left" w:pos="360"/>
        </w:tabs>
        <w:spacing w:line="360" w:lineRule="auto"/>
        <w:ind w:firstLine="120" w:firstLineChars="50"/>
        <w:rPr>
          <w:sz w:val="24"/>
          <w:szCs w:val="24"/>
        </w:rPr>
      </w:pPr>
      <w:r>
        <w:rPr>
          <w:sz w:val="24"/>
          <w:szCs w:val="24"/>
        </w:rPr>
        <w:t>（一）交通标志</w:t>
      </w:r>
    </w:p>
    <w:p>
      <w:pPr>
        <w:numPr>
          <w:ilvl w:val="0"/>
          <w:numId w:val="15"/>
        </w:numPr>
        <w:ind w:firstLine="480"/>
        <w:rPr>
          <w:rFonts w:hint="eastAsia" w:ascii="宋体" w:hAnsi="宋体" w:eastAsia="宋体" w:cs="宋体"/>
          <w:szCs w:val="22"/>
        </w:rPr>
      </w:pPr>
      <w:r>
        <w:rPr>
          <w:rFonts w:hint="eastAsia" w:ascii="宋体" w:hAnsi="宋体" w:eastAsia="宋体" w:cs="宋体"/>
          <w:szCs w:val="22"/>
        </w:rPr>
        <w:t>柱式标志的标志板下缘距路面高为1000-2500mm；悬臂式及门架标志安装净空为5500mm；</w:t>
      </w:r>
    </w:p>
    <w:p>
      <w:pPr>
        <w:numPr>
          <w:ilvl w:val="0"/>
          <w:numId w:val="15"/>
        </w:numPr>
        <w:ind w:firstLine="480"/>
        <w:rPr>
          <w:rFonts w:hint="eastAsia" w:ascii="宋体" w:hAnsi="宋体" w:eastAsia="宋体" w:cs="宋体"/>
          <w:szCs w:val="22"/>
        </w:rPr>
      </w:pPr>
      <w:r>
        <w:rPr>
          <w:rFonts w:hint="eastAsia" w:ascii="宋体" w:hAnsi="宋体" w:eastAsia="宋体" w:cs="宋体"/>
          <w:szCs w:val="22"/>
        </w:rPr>
        <w:t>路侧柱式标志安装时应与道路中线成一定的角度，指路和警告标志为0-10°，禁令标志为0-45°；</w:t>
      </w:r>
    </w:p>
    <w:p>
      <w:pPr>
        <w:numPr>
          <w:ilvl w:val="0"/>
          <w:numId w:val="15"/>
        </w:numPr>
        <w:ind w:firstLine="480"/>
        <w:rPr>
          <w:rFonts w:hint="eastAsia" w:ascii="宋体" w:hAnsi="宋体" w:eastAsia="宋体" w:cs="宋体"/>
          <w:szCs w:val="22"/>
        </w:rPr>
      </w:pPr>
      <w:r>
        <w:rPr>
          <w:rFonts w:hint="eastAsia" w:ascii="宋体" w:hAnsi="宋体" w:eastAsia="宋体" w:cs="宋体"/>
          <w:szCs w:val="22"/>
        </w:rPr>
        <w:t>在对标志基础进行浇筑和放线时，除严格按设计文件放线定位外，还应考虑到与其它设施的交叉影响，如需调整，应及时上报和通知监理工程师并征得同意，以使放线定位一次成功。同时，预埋件的位置应当精确；</w:t>
      </w:r>
    </w:p>
    <w:p>
      <w:pPr>
        <w:numPr>
          <w:ilvl w:val="0"/>
          <w:numId w:val="15"/>
        </w:numPr>
        <w:ind w:firstLine="480"/>
        <w:rPr>
          <w:rFonts w:hint="eastAsia" w:ascii="宋体" w:hAnsi="宋体" w:eastAsia="宋体" w:cs="宋体"/>
          <w:szCs w:val="22"/>
        </w:rPr>
      </w:pPr>
      <w:r>
        <w:rPr>
          <w:rFonts w:hint="eastAsia" w:ascii="宋体" w:hAnsi="宋体" w:eastAsia="宋体" w:cs="宋体"/>
          <w:szCs w:val="22"/>
        </w:rPr>
        <w:t>当设计的标志安装形式及位置与实际存在构造物发生冲突时，应根据实际情况并征的监理工程师同意后适当调整标志的安装位置；</w:t>
      </w:r>
    </w:p>
    <w:p>
      <w:pPr>
        <w:numPr>
          <w:ilvl w:val="0"/>
          <w:numId w:val="15"/>
        </w:numPr>
        <w:ind w:firstLine="480"/>
        <w:rPr>
          <w:rFonts w:hint="eastAsia" w:ascii="宋体" w:hAnsi="宋体" w:eastAsia="宋体" w:cs="宋体"/>
          <w:szCs w:val="22"/>
        </w:rPr>
      </w:pPr>
      <w:r>
        <w:rPr>
          <w:rFonts w:hint="eastAsia" w:ascii="宋体" w:hAnsi="宋体" w:eastAsia="宋体" w:cs="宋体"/>
          <w:szCs w:val="22"/>
        </w:rPr>
        <w:t>标志板的运输、吊装过程应小心，避免对标志板、反光膜产生任何操作损伤，构件镀锌层在运输、安装过程中造成损伤，应及时采取补救措施；</w:t>
      </w:r>
    </w:p>
    <w:p>
      <w:pPr>
        <w:numPr>
          <w:ilvl w:val="0"/>
          <w:numId w:val="15"/>
        </w:numPr>
        <w:ind w:firstLine="480"/>
        <w:rPr>
          <w:rFonts w:hint="eastAsia" w:ascii="宋体" w:hAnsi="宋体" w:eastAsia="宋体" w:cs="宋体"/>
          <w:szCs w:val="22"/>
        </w:rPr>
      </w:pPr>
      <w:r>
        <w:rPr>
          <w:rFonts w:hint="eastAsia" w:ascii="宋体" w:hAnsi="宋体" w:eastAsia="宋体" w:cs="宋体"/>
          <w:szCs w:val="22"/>
        </w:rPr>
        <w:t>安装前应仔细将板、基础按设计文件一一对应，避免造成错误。</w:t>
      </w:r>
    </w:p>
    <w:p>
      <w:pPr>
        <w:numPr>
          <w:ilvl w:val="0"/>
          <w:numId w:val="15"/>
        </w:numPr>
        <w:ind w:firstLine="480"/>
        <w:rPr>
          <w:rFonts w:hint="eastAsia" w:ascii="宋体" w:hAnsi="宋体" w:eastAsia="宋体" w:cs="宋体"/>
          <w:szCs w:val="22"/>
        </w:rPr>
      </w:pPr>
      <w:r>
        <w:rPr>
          <w:rFonts w:hint="eastAsia" w:ascii="宋体" w:hAnsi="宋体" w:eastAsia="宋体" w:cs="宋体"/>
          <w:szCs w:val="22"/>
        </w:rPr>
        <w:t>标志牌立柱的地脚螺栓及基础法兰盘应埋入地下，不得露出地面。</w:t>
      </w:r>
    </w:p>
    <w:p>
      <w:pPr>
        <w:tabs>
          <w:tab w:val="left" w:pos="360"/>
        </w:tabs>
        <w:spacing w:line="360" w:lineRule="auto"/>
        <w:ind w:firstLine="120" w:firstLineChars="50"/>
        <w:rPr>
          <w:sz w:val="24"/>
          <w:szCs w:val="24"/>
        </w:rPr>
      </w:pPr>
      <w:r>
        <w:rPr>
          <w:sz w:val="24"/>
          <w:szCs w:val="24"/>
        </w:rPr>
        <w:t>（二）交通标线</w:t>
      </w:r>
    </w:p>
    <w:p>
      <w:pPr>
        <w:numPr>
          <w:ilvl w:val="0"/>
          <w:numId w:val="16"/>
        </w:numPr>
        <w:ind w:firstLine="480"/>
        <w:rPr>
          <w:rFonts w:hint="eastAsia" w:ascii="宋体" w:hAnsi="宋体" w:eastAsia="宋体" w:cs="宋体"/>
          <w:szCs w:val="22"/>
        </w:rPr>
      </w:pPr>
      <w:r>
        <w:rPr>
          <w:rFonts w:hint="eastAsia" w:ascii="宋体" w:hAnsi="宋体" w:eastAsia="宋体" w:cs="宋体"/>
          <w:szCs w:val="22"/>
        </w:rPr>
        <w:t>设置标线的路面应清洁干燥，无松散颗粒、灰尘、沥青、油污或其他有害物质；</w:t>
      </w:r>
    </w:p>
    <w:p>
      <w:pPr>
        <w:numPr>
          <w:ilvl w:val="0"/>
          <w:numId w:val="16"/>
        </w:numPr>
        <w:ind w:firstLine="480"/>
        <w:rPr>
          <w:rFonts w:hint="eastAsia" w:ascii="宋体" w:hAnsi="宋体" w:eastAsia="宋体" w:cs="宋体"/>
          <w:szCs w:val="22"/>
        </w:rPr>
      </w:pPr>
      <w:r>
        <w:rPr>
          <w:rFonts w:hint="eastAsia" w:ascii="宋体" w:hAnsi="宋体" w:eastAsia="宋体" w:cs="宋体"/>
          <w:szCs w:val="22"/>
        </w:rPr>
        <w:t>交通标线与标记的划法应符合国家和地方有关规定，并做到整齐、清晰、醒目、色泽与漆膜厚度均匀；划漆线条流畅，线形规则；</w:t>
      </w:r>
    </w:p>
    <w:p>
      <w:pPr>
        <w:numPr>
          <w:ilvl w:val="0"/>
          <w:numId w:val="16"/>
        </w:numPr>
        <w:ind w:firstLine="480"/>
        <w:rPr>
          <w:rFonts w:hint="eastAsia" w:ascii="宋体" w:hAnsi="宋体" w:eastAsia="宋体" w:cs="宋体"/>
          <w:szCs w:val="22"/>
        </w:rPr>
      </w:pPr>
      <w:r>
        <w:rPr>
          <w:rFonts w:hint="eastAsia" w:ascii="宋体" w:hAnsi="宋体" w:eastAsia="宋体" w:cs="宋体"/>
          <w:szCs w:val="22"/>
        </w:rPr>
        <w:t>所有标线应具有顺直、平顺、光洁、均匀及精美外观，湿膜厚度符合图纸要求；</w:t>
      </w:r>
    </w:p>
    <w:p>
      <w:pPr>
        <w:numPr>
          <w:ilvl w:val="0"/>
          <w:numId w:val="16"/>
        </w:numPr>
        <w:ind w:firstLine="480"/>
        <w:rPr>
          <w:rFonts w:hint="eastAsia" w:ascii="宋体" w:hAnsi="宋体" w:eastAsia="宋体" w:cs="宋体"/>
          <w:szCs w:val="22"/>
        </w:rPr>
      </w:pPr>
      <w:r>
        <w:rPr>
          <w:rFonts w:hint="eastAsia" w:ascii="宋体" w:hAnsi="宋体" w:eastAsia="宋体" w:cs="宋体"/>
          <w:szCs w:val="22"/>
        </w:rPr>
        <w:t>涂料在容器内加热时，温度应控制在涂料生产商的使用说明规定值内，不得超过最高限制温度；</w:t>
      </w:r>
    </w:p>
    <w:p>
      <w:pPr>
        <w:numPr>
          <w:ilvl w:val="0"/>
          <w:numId w:val="16"/>
        </w:numPr>
        <w:ind w:firstLine="480"/>
        <w:rPr>
          <w:rFonts w:hint="eastAsia" w:ascii="宋体" w:hAnsi="宋体" w:eastAsia="宋体" w:cs="宋体"/>
          <w:szCs w:val="22"/>
        </w:rPr>
      </w:pPr>
      <w:r>
        <w:rPr>
          <w:rFonts w:hint="eastAsia" w:ascii="宋体" w:hAnsi="宋体" w:eastAsia="宋体" w:cs="宋体"/>
          <w:szCs w:val="22"/>
        </w:rPr>
        <w:t>喷涂施工应在白天进行，雨天、尘埃大、风大、温度低于10℃时应暂停施工；</w:t>
      </w:r>
    </w:p>
    <w:p>
      <w:pPr>
        <w:numPr>
          <w:ilvl w:val="0"/>
          <w:numId w:val="16"/>
        </w:numPr>
        <w:ind w:firstLine="480"/>
        <w:rPr>
          <w:rFonts w:hint="eastAsia" w:ascii="宋体" w:hAnsi="宋体" w:eastAsia="宋体" w:cs="宋体"/>
          <w:szCs w:val="22"/>
        </w:rPr>
      </w:pPr>
      <w:r>
        <w:rPr>
          <w:rFonts w:hint="eastAsia" w:ascii="宋体" w:hAnsi="宋体" w:eastAsia="宋体" w:cs="宋体"/>
          <w:szCs w:val="22"/>
        </w:rPr>
        <w:t>玻璃珠的撒布应经试验并获监理工程师批准方可实施。撒布玻璃珠应在涂料喷涂后立即进行，以0.3Kg/m2的用量加压撒布在所有标线上；</w:t>
      </w:r>
    </w:p>
    <w:p>
      <w:pPr>
        <w:numPr>
          <w:ilvl w:val="0"/>
          <w:numId w:val="16"/>
        </w:numPr>
        <w:ind w:firstLine="480"/>
        <w:rPr>
          <w:rFonts w:hint="eastAsia" w:ascii="宋体" w:hAnsi="宋体" w:eastAsia="宋体" w:cs="宋体"/>
          <w:szCs w:val="22"/>
        </w:rPr>
      </w:pPr>
      <w:r>
        <w:rPr>
          <w:rFonts w:hint="eastAsia" w:ascii="宋体" w:hAnsi="宋体" w:eastAsia="宋体" w:cs="宋体"/>
          <w:szCs w:val="22"/>
        </w:rPr>
        <w:t>喷涂标线时，应有交通安全措施，设置适当警告标志，阻止车辆及行人在作业区内通行，防止将涂料带出或形成车辙，直至标线充分干燥；</w:t>
      </w:r>
    </w:p>
    <w:p>
      <w:pPr>
        <w:bidi w:val="0"/>
        <w:rPr>
          <w:rFonts w:hint="eastAsia"/>
        </w:rPr>
      </w:pPr>
      <w:r>
        <w:rPr>
          <w:rFonts w:hint="eastAsia"/>
        </w:rPr>
        <w:t>道路标志标线的施工、验收要求应按《道路交通标线质量要求和检测方法》(GB／T16311—2009)及该地区相关验收规程执行；</w:t>
      </w:r>
    </w:p>
    <w:p>
      <w:pPr>
        <w:tabs>
          <w:tab w:val="left" w:pos="360"/>
        </w:tabs>
        <w:spacing w:line="360" w:lineRule="auto"/>
        <w:rPr>
          <w:sz w:val="24"/>
          <w:szCs w:val="24"/>
        </w:rPr>
      </w:pPr>
      <w:r>
        <w:rPr>
          <w:rFonts w:hint="eastAsia" w:ascii="宋体" w:hAnsi="宋体"/>
          <w:sz w:val="24"/>
          <w:szCs w:val="24"/>
        </w:rPr>
        <w:t xml:space="preserve">  </w:t>
      </w:r>
      <w:r>
        <w:rPr>
          <w:sz w:val="24"/>
          <w:szCs w:val="24"/>
        </w:rPr>
        <w:t>（三）交通信号</w:t>
      </w:r>
    </w:p>
    <w:p>
      <w:pPr>
        <w:numPr>
          <w:ilvl w:val="0"/>
          <w:numId w:val="17"/>
        </w:numPr>
        <w:ind w:firstLine="480"/>
        <w:rPr>
          <w:rFonts w:hint="eastAsia" w:ascii="宋体" w:hAnsi="宋体" w:eastAsia="宋体" w:cs="宋体"/>
          <w:szCs w:val="22"/>
        </w:rPr>
      </w:pPr>
      <w:r>
        <w:rPr>
          <w:rFonts w:hint="eastAsia" w:ascii="宋体" w:hAnsi="宋体" w:eastAsia="宋体" w:cs="宋体"/>
          <w:szCs w:val="22"/>
        </w:rPr>
        <w:t>信号控制机箱安装要求：</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信号机箱的安装应考虑设置在人行横道或侧分带上，视野宽阔、不妨碍行人及车辆通行、能观察到交叉口的交通状况和信号灯的变化状况、并能容易驳接电源的地点。</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信号机箱的基础位置与路缘平行，基础至少高于地面</w:t>
      </w:r>
      <w:r>
        <w:rPr>
          <w:color w:val="000000"/>
          <w:sz w:val="24"/>
          <w:szCs w:val="24"/>
        </w:rPr>
        <w:t>20cm</w:t>
      </w:r>
      <w:r>
        <w:rPr>
          <w:rFonts w:hAnsi="宋体"/>
          <w:color w:val="000000"/>
          <w:sz w:val="24"/>
          <w:szCs w:val="24"/>
        </w:rPr>
        <w:t>，平面尺寸应和信号机箱底座尺寸一致，地面以下的水泥钢筋基础</w:t>
      </w:r>
      <w:r>
        <w:rPr>
          <w:color w:val="000000"/>
          <w:sz w:val="24"/>
          <w:szCs w:val="24"/>
        </w:rPr>
        <w:t xml:space="preserve">65cm </w:t>
      </w:r>
      <w:r>
        <w:rPr>
          <w:rFonts w:hAnsi="宋体"/>
          <w:color w:val="000000"/>
          <w:sz w:val="24"/>
          <w:szCs w:val="24"/>
        </w:rPr>
        <w:t>深。</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在有可能积水的地面安装信号机箱时，应适当增加基础高度，防止信号机被积水淹没。</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信号机箱安装完毕后，应将机箱底部的接线孔用填充物密封，防止潮气侵蚀。</w:t>
      </w:r>
    </w:p>
    <w:p>
      <w:pPr>
        <w:numPr>
          <w:ilvl w:val="0"/>
          <w:numId w:val="9"/>
        </w:numPr>
        <w:tabs>
          <w:tab w:val="left" w:pos="1050"/>
        </w:tabs>
        <w:snapToGrid w:val="0"/>
        <w:spacing w:line="360" w:lineRule="auto"/>
        <w:ind w:left="1487" w:leftChars="0" w:hanging="420" w:firstLineChars="0"/>
        <w:rPr>
          <w:rFonts w:hint="eastAsia"/>
          <w:color w:val="000000"/>
          <w:sz w:val="24"/>
          <w:szCs w:val="24"/>
        </w:rPr>
      </w:pPr>
      <w:r>
        <w:rPr>
          <w:rFonts w:hAnsi="宋体"/>
          <w:color w:val="000000"/>
          <w:sz w:val="24"/>
          <w:szCs w:val="24"/>
        </w:rPr>
        <w:t>信号机箱安装时，保护接地线、避雷器接地线的接地施工应符合《电气装置安装工程接地装置施工及验收规范》</w:t>
      </w:r>
      <w:r>
        <w:rPr>
          <w:color w:val="000000"/>
          <w:sz w:val="24"/>
          <w:szCs w:val="24"/>
        </w:rPr>
        <w:t>(GB50169)</w:t>
      </w:r>
      <w:r>
        <w:rPr>
          <w:rFonts w:hAnsi="宋体"/>
          <w:color w:val="000000"/>
          <w:sz w:val="24"/>
          <w:szCs w:val="24"/>
        </w:rPr>
        <w:t>的规定；接地完毕，测量信号机箱接地电阻小于</w:t>
      </w:r>
      <w:r>
        <w:rPr>
          <w:color w:val="000000"/>
          <w:sz w:val="24"/>
          <w:szCs w:val="24"/>
        </w:rPr>
        <w:t>4Ω</w:t>
      </w:r>
      <w:r>
        <w:rPr>
          <w:rFonts w:hAnsi="宋体"/>
          <w:color w:val="000000"/>
          <w:sz w:val="24"/>
          <w:szCs w:val="24"/>
        </w:rPr>
        <w:t>。</w:t>
      </w:r>
    </w:p>
    <w:p>
      <w:pPr>
        <w:numPr>
          <w:ilvl w:val="0"/>
          <w:numId w:val="9"/>
        </w:numPr>
        <w:tabs>
          <w:tab w:val="left" w:pos="1050"/>
        </w:tabs>
        <w:snapToGrid w:val="0"/>
        <w:spacing w:line="360" w:lineRule="auto"/>
        <w:ind w:left="1487" w:leftChars="0" w:hanging="420" w:firstLineChars="0"/>
        <w:rPr>
          <w:color w:val="000000"/>
          <w:sz w:val="24"/>
          <w:szCs w:val="24"/>
        </w:rPr>
      </w:pPr>
      <w:r>
        <w:rPr>
          <w:rFonts w:hint="eastAsia" w:hAnsi="宋体"/>
          <w:color w:val="000000"/>
          <w:sz w:val="24"/>
          <w:szCs w:val="24"/>
        </w:rPr>
        <w:t>本项目信控机设计仅为示意，最终由建设单位或主管部门确定其信号控制机的型号、规格、数量等。</w:t>
      </w:r>
    </w:p>
    <w:p>
      <w:pPr>
        <w:numPr>
          <w:ilvl w:val="0"/>
          <w:numId w:val="17"/>
        </w:numPr>
        <w:ind w:firstLine="480"/>
        <w:rPr>
          <w:rFonts w:hint="eastAsia" w:ascii="宋体" w:hAnsi="宋体" w:eastAsia="宋体" w:cs="宋体"/>
          <w:szCs w:val="22"/>
        </w:rPr>
      </w:pPr>
      <w:r>
        <w:rPr>
          <w:rFonts w:hint="eastAsia" w:ascii="宋体" w:hAnsi="宋体" w:eastAsia="宋体" w:cs="宋体"/>
          <w:szCs w:val="22"/>
        </w:rPr>
        <w:t>灯杆制作与安装要求</w:t>
      </w:r>
    </w:p>
    <w:p>
      <w:pPr>
        <w:numPr>
          <w:ilvl w:val="0"/>
          <w:numId w:val="18"/>
        </w:numPr>
        <w:spacing w:line="360" w:lineRule="auto"/>
        <w:ind w:left="0" w:leftChars="0" w:firstLine="425" w:firstLineChars="0"/>
        <w:rPr>
          <w:rFonts w:hint="eastAsia" w:ascii="宋体" w:hAnsi="宋体"/>
          <w:sz w:val="24"/>
          <w:szCs w:val="24"/>
        </w:rPr>
      </w:pPr>
      <w:r>
        <w:rPr>
          <w:rFonts w:hint="eastAsia" w:ascii="宋体" w:hAnsi="宋体"/>
          <w:sz w:val="24"/>
          <w:szCs w:val="24"/>
        </w:rPr>
        <w:t>灯杆制作</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信号灯杆所属的立柱、法兰盘、地脚螺栓、螺母、垫片、加强筋等金属构件及悬臂、支撑臂、拉杆、抱箍座、夹板等附件的防腐性能应符合</w:t>
      </w:r>
      <w:r>
        <w:rPr>
          <w:color w:val="000000"/>
          <w:sz w:val="24"/>
        </w:rPr>
        <w:t>GB/T18226</w:t>
      </w:r>
      <w:r>
        <w:rPr>
          <w:rFonts w:hAnsi="宋体"/>
          <w:color w:val="000000"/>
          <w:sz w:val="24"/>
        </w:rPr>
        <w:t>《高速公路交通工程钢构件防腐技术条件》的规定。</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信号灯杆应采用圆形或多棱形经热镀锌处理的钢管制造。</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信号灯杆安装前须经过防锈处理，底层喷涂富锌防锈底漆，外层喷涂银灰色瓷漆。</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悬臂式灯杆拉杆宜使用圆钢制作，一端配有可调距离的螺旋扣，直径和长度根据悬臂长度确定。</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信号灯杆杆体底部应焊接固定法兰盘，法兰盘与杆体之间应均匀焊接加强筋。</w:t>
      </w:r>
    </w:p>
    <w:p>
      <w:pPr>
        <w:numPr>
          <w:ilvl w:val="0"/>
          <w:numId w:val="18"/>
        </w:numPr>
        <w:spacing w:line="360" w:lineRule="auto"/>
        <w:ind w:left="0" w:leftChars="0" w:firstLine="425" w:firstLineChars="0"/>
        <w:rPr>
          <w:rFonts w:hint="eastAsia" w:ascii="宋体" w:hAnsi="宋体"/>
          <w:sz w:val="24"/>
          <w:szCs w:val="24"/>
        </w:rPr>
      </w:pPr>
      <w:r>
        <w:rPr>
          <w:rFonts w:hint="eastAsia" w:ascii="宋体" w:hAnsi="宋体"/>
          <w:sz w:val="24"/>
          <w:szCs w:val="24"/>
        </w:rPr>
        <w:t>灯杆安装</w:t>
      </w:r>
    </w:p>
    <w:p>
      <w:pPr>
        <w:numPr>
          <w:ilvl w:val="0"/>
          <w:numId w:val="9"/>
        </w:numPr>
        <w:tabs>
          <w:tab w:val="left" w:pos="1050"/>
        </w:tabs>
        <w:snapToGrid w:val="0"/>
        <w:spacing w:line="360" w:lineRule="auto"/>
        <w:ind w:left="1487" w:leftChars="0" w:hanging="420" w:firstLineChars="0"/>
        <w:rPr>
          <w:color w:val="000000"/>
          <w:sz w:val="24"/>
          <w:szCs w:val="24"/>
        </w:rPr>
      </w:pPr>
      <w:r>
        <w:rPr>
          <w:color w:val="000000"/>
          <w:sz w:val="24"/>
          <w:szCs w:val="24"/>
        </w:rPr>
        <w:t>信号灯和信号灯杆不得侵入道路通信净空界限范围。</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人行横道信号灯下缘距地面高度为</w:t>
      </w:r>
      <w:r>
        <w:rPr>
          <w:color w:val="000000"/>
          <w:sz w:val="24"/>
          <w:szCs w:val="24"/>
        </w:rPr>
        <w:t>2</w:t>
      </w:r>
      <w:r>
        <w:rPr>
          <w:rFonts w:hAnsi="宋体"/>
          <w:color w:val="000000"/>
          <w:sz w:val="24"/>
          <w:szCs w:val="24"/>
        </w:rPr>
        <w:t>～</w:t>
      </w:r>
      <w:r>
        <w:rPr>
          <w:color w:val="000000"/>
          <w:sz w:val="24"/>
          <w:szCs w:val="24"/>
        </w:rPr>
        <w:t>2.5m</w:t>
      </w:r>
      <w:r>
        <w:rPr>
          <w:rFonts w:hAnsi="宋体"/>
          <w:color w:val="000000"/>
          <w:sz w:val="24"/>
          <w:szCs w:val="24"/>
        </w:rPr>
        <w:t>。</w:t>
      </w:r>
    </w:p>
    <w:p>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机动车信号灯采用</w:t>
      </w:r>
      <w:r>
        <w:rPr>
          <w:color w:val="000000"/>
          <w:sz w:val="24"/>
          <w:szCs w:val="24"/>
        </w:rPr>
        <w:t>“L”</w:t>
      </w:r>
      <w:r>
        <w:rPr>
          <w:rFonts w:hAnsi="宋体"/>
          <w:color w:val="000000"/>
          <w:sz w:val="24"/>
          <w:szCs w:val="24"/>
        </w:rPr>
        <w:t>型悬臂式安装时臂长不超过最内侧车道中心，最短不小于最外侧机动车道中心。</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悬臂式灯杆支撑臂使用抱箍、抱箍座与灯杆连接固定；拉杆与灯杆、拉杆与悬臂、支撑臂与悬臂可使用夹板连接固定；安装时使用的固定螺栓、螺母、垫圈应使用热镀锌件并用弹簧垫圈压紧。</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紧固标准件全部采用不锈钢材料。</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信号灯杆安装应保证杆体垂直，倾斜度不得超过</w:t>
      </w:r>
      <w:r>
        <w:rPr>
          <w:color w:val="000000"/>
          <w:sz w:val="24"/>
        </w:rPr>
        <w:t>±0.5%</w:t>
      </w:r>
      <w:r>
        <w:rPr>
          <w:rFonts w:hAnsi="宋体"/>
          <w:color w:val="000000"/>
          <w:sz w:val="24"/>
        </w:rPr>
        <w:t>。</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信号灯杆安装应有足够的强度，能抵抗</w:t>
      </w:r>
      <w:r>
        <w:rPr>
          <w:color w:val="000000"/>
          <w:sz w:val="24"/>
        </w:rPr>
        <w:t xml:space="preserve">12 </w:t>
      </w:r>
      <w:r>
        <w:rPr>
          <w:rFonts w:hAnsi="宋体"/>
          <w:color w:val="000000"/>
          <w:sz w:val="24"/>
        </w:rPr>
        <w:t>级大风或者一般移动物体的撞击。</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信号灯杆保护接地电阻应小于</w:t>
      </w:r>
      <w:r>
        <w:rPr>
          <w:color w:val="000000"/>
          <w:sz w:val="24"/>
        </w:rPr>
        <w:t>4Ω</w:t>
      </w:r>
      <w:r>
        <w:rPr>
          <w:rFonts w:hAnsi="宋体"/>
          <w:color w:val="000000"/>
          <w:sz w:val="24"/>
        </w:rPr>
        <w:t>。</w:t>
      </w:r>
    </w:p>
    <w:p>
      <w:pPr>
        <w:numPr>
          <w:ilvl w:val="0"/>
          <w:numId w:val="17"/>
        </w:numPr>
        <w:ind w:firstLine="480"/>
        <w:rPr>
          <w:rFonts w:hint="eastAsia" w:ascii="宋体" w:hAnsi="宋体" w:eastAsia="宋体" w:cs="宋体"/>
          <w:szCs w:val="22"/>
        </w:rPr>
      </w:pPr>
      <w:r>
        <w:rPr>
          <w:rFonts w:hint="eastAsia" w:ascii="宋体" w:hAnsi="宋体" w:eastAsia="宋体" w:cs="宋体"/>
          <w:szCs w:val="22"/>
        </w:rPr>
        <w:t>信号相位排列原则</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以路口主要交通流方向的东侧和北侧左转机动车相位开始，按左、直顺序排列；</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按逆时针方向逐个排列各个路口到达方向的机动车相位；</w:t>
      </w:r>
    </w:p>
    <w:p>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再从该路口机动车相位开始排列的方向开始逆时针顺序排列非机动车、行人相位。</w:t>
      </w:r>
    </w:p>
    <w:p>
      <w:pPr>
        <w:numPr>
          <w:ilvl w:val="0"/>
          <w:numId w:val="17"/>
        </w:numPr>
        <w:ind w:firstLine="480"/>
        <w:rPr>
          <w:rFonts w:hint="eastAsia" w:ascii="宋体" w:hAnsi="宋体" w:eastAsia="宋体" w:cs="宋体"/>
          <w:szCs w:val="22"/>
        </w:rPr>
      </w:pPr>
      <w:r>
        <w:rPr>
          <w:rFonts w:hint="eastAsia" w:ascii="宋体" w:hAnsi="宋体" w:eastAsia="宋体" w:cs="宋体"/>
          <w:szCs w:val="22"/>
        </w:rPr>
        <w:t>线缆敷设敷设要求</w:t>
      </w:r>
    </w:p>
    <w:p>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电缆敷设时不允许在管道或交通井内有接头。</w:t>
      </w:r>
    </w:p>
    <w:p>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电缆两端使用相同的号码套管编码以便日后的维修。</w:t>
      </w:r>
    </w:p>
    <w:p>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电缆的连接部分要有足够的导体保证信号控制系统的全负载运行。</w:t>
      </w:r>
    </w:p>
    <w:p>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放线后每根电缆线尾端应独立密封，防止雨水渗入线内。</w:t>
      </w:r>
    </w:p>
    <w:p>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sz w:val="24"/>
          <w:szCs w:val="24"/>
        </w:rPr>
      </w:pPr>
      <w:r>
        <w:rPr>
          <w:rFonts w:hAnsi="宋体"/>
          <w:color w:val="000000"/>
          <w:sz w:val="24"/>
        </w:rPr>
        <w:t>引向信号灯杆的每根电缆应在最靠近立柱的拉线井内留有余量，人行灯灯杆应预留</w:t>
      </w:r>
      <w:r>
        <w:rPr>
          <w:color w:val="000000"/>
          <w:sz w:val="24"/>
        </w:rPr>
        <w:t>2m</w:t>
      </w:r>
      <w:r>
        <w:rPr>
          <w:rFonts w:hAnsi="宋体"/>
          <w:color w:val="000000"/>
          <w:sz w:val="24"/>
        </w:rPr>
        <w:t>，机动车灯杆应预留</w:t>
      </w:r>
      <w:r>
        <w:rPr>
          <w:color w:val="000000"/>
          <w:sz w:val="24"/>
        </w:rPr>
        <w:t>3m</w:t>
      </w:r>
      <w:r>
        <w:rPr>
          <w:rFonts w:hAnsi="宋体"/>
          <w:color w:val="000000"/>
          <w:sz w:val="24"/>
        </w:rPr>
        <w:t>，悬臂式灯杆应预留</w:t>
      </w:r>
      <w:r>
        <w:rPr>
          <w:color w:val="000000"/>
          <w:sz w:val="24"/>
        </w:rPr>
        <w:t>3m</w:t>
      </w:r>
      <w:r>
        <w:rPr>
          <w:rFonts w:hAnsi="宋体"/>
          <w:color w:val="000000"/>
          <w:sz w:val="24"/>
        </w:rPr>
        <w:t>。</w:t>
      </w:r>
    </w:p>
    <w:p>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rFonts w:hint="eastAsia"/>
          <w:sz w:val="24"/>
          <w:szCs w:val="24"/>
        </w:rPr>
      </w:pPr>
      <w:r>
        <w:rPr>
          <w:rFonts w:hAnsi="宋体"/>
          <w:color w:val="000000"/>
          <w:sz w:val="24"/>
        </w:rPr>
        <w:t>引向信号机的每根电缆应在信号机基础旁的接线井内留有</w:t>
      </w:r>
      <w:r>
        <w:rPr>
          <w:color w:val="000000"/>
          <w:sz w:val="24"/>
        </w:rPr>
        <w:t xml:space="preserve">3m </w:t>
      </w:r>
      <w:r>
        <w:rPr>
          <w:rFonts w:hAnsi="宋体"/>
          <w:color w:val="000000"/>
          <w:sz w:val="24"/>
        </w:rPr>
        <w:t>余量。</w:t>
      </w:r>
    </w:p>
    <w:p>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sz w:val="24"/>
          <w:szCs w:val="24"/>
        </w:rPr>
      </w:pPr>
      <w:r>
        <w:rPr>
          <w:rFonts w:hint="eastAsia" w:hAnsi="宋体"/>
          <w:color w:val="000000"/>
          <w:sz w:val="24"/>
        </w:rPr>
        <w:t>本项目涉及到的电缆规格仅为示意，最终由建设单位或主管部门最终确定为准。</w:t>
      </w:r>
    </w:p>
    <w:p>
      <w:pPr>
        <w:tabs>
          <w:tab w:val="left" w:pos="360"/>
        </w:tabs>
        <w:spacing w:line="360" w:lineRule="auto"/>
        <w:rPr>
          <w:sz w:val="24"/>
          <w:szCs w:val="24"/>
        </w:rPr>
      </w:pPr>
      <w:r>
        <w:rPr>
          <w:sz w:val="24"/>
          <w:szCs w:val="24"/>
        </w:rPr>
        <w:t>（四）注意事项</w:t>
      </w:r>
    </w:p>
    <w:p>
      <w:pPr>
        <w:numPr>
          <w:ilvl w:val="0"/>
          <w:numId w:val="19"/>
        </w:numPr>
        <w:ind w:firstLine="480"/>
        <w:rPr>
          <w:rFonts w:hint="eastAsia" w:ascii="宋体" w:hAnsi="宋体" w:eastAsia="宋体" w:cs="宋体"/>
          <w:szCs w:val="22"/>
        </w:rPr>
      </w:pPr>
      <w:r>
        <w:rPr>
          <w:rFonts w:hint="eastAsia" w:ascii="宋体" w:hAnsi="宋体" w:eastAsia="宋体" w:cs="宋体"/>
          <w:szCs w:val="22"/>
        </w:rPr>
        <w:t>所有交通设施的安装均应在交警部门的指导及监督下进行。</w:t>
      </w:r>
    </w:p>
    <w:p>
      <w:pPr>
        <w:numPr>
          <w:ilvl w:val="0"/>
          <w:numId w:val="19"/>
        </w:numPr>
        <w:ind w:firstLine="480"/>
        <w:rPr>
          <w:rFonts w:hint="eastAsia" w:ascii="宋体" w:hAnsi="宋体" w:eastAsia="宋体" w:cs="宋体"/>
          <w:szCs w:val="22"/>
        </w:rPr>
      </w:pPr>
      <w:r>
        <w:rPr>
          <w:rFonts w:hint="eastAsia" w:ascii="宋体" w:hAnsi="宋体" w:eastAsia="宋体" w:cs="宋体"/>
          <w:szCs w:val="22"/>
        </w:rPr>
        <w:t>标志的位置选择应选择在视野开阔地段，保证标志版面的易见性，不允许有任何其他设备遮挡标志版。</w:t>
      </w:r>
    </w:p>
    <w:p>
      <w:pPr>
        <w:numPr>
          <w:ilvl w:val="0"/>
          <w:numId w:val="19"/>
        </w:numPr>
        <w:ind w:firstLine="480"/>
        <w:rPr>
          <w:rFonts w:hint="eastAsia" w:ascii="宋体" w:hAnsi="宋体" w:eastAsia="宋体" w:cs="宋体"/>
          <w:szCs w:val="22"/>
        </w:rPr>
      </w:pPr>
      <w:r>
        <w:rPr>
          <w:rFonts w:hint="eastAsia" w:ascii="宋体" w:hAnsi="宋体" w:eastAsia="宋体" w:cs="宋体"/>
          <w:szCs w:val="22"/>
        </w:rPr>
        <w:t>本项目涉及到的信号控制机、电缆最终由建设单位或主管部门确定其型号、规格、数量，施工单位在未得到明确答复前，严禁施工该部分工程量。</w:t>
      </w:r>
    </w:p>
    <w:p>
      <w:pPr>
        <w:pStyle w:val="2"/>
        <w:bidi w:val="0"/>
        <w:ind w:left="432" w:leftChars="0" w:hanging="432" w:firstLineChars="0"/>
        <w:rPr>
          <w:rFonts w:hint="eastAsia"/>
          <w:lang w:val="en-US" w:eastAsia="zh-CN"/>
        </w:rPr>
      </w:pPr>
      <w:r>
        <w:rPr>
          <w:rFonts w:hint="eastAsia"/>
          <w:lang w:val="en-US" w:eastAsia="zh-CN"/>
        </w:rPr>
        <w:t>存在的问题及建议</w:t>
      </w:r>
    </w:p>
    <w:p>
      <w:pPr>
        <w:spacing w:line="360" w:lineRule="auto"/>
        <w:ind w:firstLine="482" w:firstLineChars="200"/>
        <w:outlineLvl w:val="0"/>
        <w:rPr>
          <w:rFonts w:hint="eastAsia"/>
          <w:highlight w:val="yellow"/>
          <w:lang w:val="en-US" w:eastAsia="zh-CN"/>
        </w:rPr>
      </w:pPr>
      <w:r>
        <w:rPr>
          <w:rFonts w:hint="eastAsia"/>
          <w:b/>
          <w:sz w:val="24"/>
          <w:szCs w:val="24"/>
        </w:rPr>
        <w:t>交通工程实施前，应与交通主管部门沟通，待相关单位同意后，方可进行施工。</w:t>
      </w:r>
      <w:r>
        <w:rPr>
          <w:b/>
          <w:sz w:val="24"/>
          <w:szCs w:val="24"/>
        </w:rPr>
        <w:t>其它未尽事宜，请严格按照有关《国标》、《规范》执行。</w:t>
      </w:r>
    </w:p>
    <w:p>
      <w:pPr>
        <w:ind w:left="0" w:leftChars="0" w:firstLine="0" w:firstLineChars="0"/>
        <w:rPr>
          <w:rFonts w:hint="eastAsia"/>
        </w:rPr>
      </w:pPr>
    </w:p>
    <w:sectPr>
      <w:type w:val="continuous"/>
      <w:pgSz w:w="23820" w:h="16834" w:orient="landscape"/>
      <w:pgMar w:top="850" w:right="1134" w:bottom="1020" w:left="1701" w:header="850" w:footer="850" w:gutter="567"/>
      <w:cols w:space="1320" w:num="2"/>
      <w:docGrid w:type="lines" w:linePitch="30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thickThinSmallGap" w:color="auto" w:sz="18" w:space="1"/>
        <w:left w:val="none" w:color="auto" w:sz="0" w:space="4"/>
        <w:bottom w:val="none" w:color="auto" w:sz="0" w:space="1"/>
        <w:right w:val="none" w:color="auto" w:sz="0" w:space="4"/>
      </w:pBdr>
      <w:spacing w:line="240" w:lineRule="auto"/>
      <w:ind w:firstLine="0" w:firstLineChars="0"/>
    </w:pPr>
    <w:r>
      <w:rPr>
        <w:sz w:val="32"/>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spacing w:line="360" w:lineRule="auto"/>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13</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pPr>
                      <w:pStyle w:val="16"/>
                      <w:spacing w:line="360" w:lineRule="auto"/>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13</w:t>
                    </w:r>
                    <w:r>
                      <w:rPr>
                        <w:rFonts w:hint="eastAsia"/>
                      </w:rPr>
                      <w:fldChar w:fldCharType="end"/>
                    </w:r>
                    <w:r>
                      <w:rPr>
                        <w:rFonts w:hint="eastAsia"/>
                      </w:rPr>
                      <w:t xml:space="preserve"> 页</w:t>
                    </w:r>
                  </w:p>
                </w:txbxContent>
              </v:textbox>
            </v:shape>
          </w:pict>
        </mc:Fallback>
      </mc:AlternateContent>
    </w:r>
    <w:r>
      <w:rPr>
        <w:rFonts w:hint="eastAsia" w:ascii="宋体" w:hAnsi="宋体"/>
        <w:sz w:val="32"/>
        <w:szCs w:val="32"/>
        <w:lang w:val="en-US"/>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w:t>
    </w:r>
    <w:r>
      <w:rPr>
        <w:rFonts w:hint="eastAsia"/>
      </w:rPr>
      <w:t>202</w:t>
    </w:r>
    <w:r>
      <w:rPr>
        <w:rFonts w:hint="eastAsia"/>
        <w:lang w:val="en-US" w:eastAsia="zh-CN"/>
      </w:rPr>
      <w:t>3</w:t>
    </w:r>
    <w:r>
      <w:rPr>
        <w:rFonts w:hint="eastAsia"/>
        <w:lang w:val="en-US"/>
      </w:rPr>
      <w:t>.</w:t>
    </w:r>
    <w:r>
      <w:rPr>
        <w:rFonts w:hint="eastAsia"/>
        <w:lang w:val="en-US" w:eastAsia="zh-CN"/>
      </w:rPr>
      <w:t>12</w:t>
    </w:r>
    <w:r>
      <w:rPr>
        <w:rFonts w:hint="eastAsia"/>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top w:val="none" w:color="auto" w:sz="0" w:space="1"/>
        <w:left w:val="none" w:color="auto" w:sz="0" w:space="4"/>
        <w:bottom w:val="thinThickSmallGap" w:color="auto" w:sz="18" w:space="1"/>
        <w:right w:val="none" w:color="auto" w:sz="0" w:space="4"/>
      </w:pBdr>
      <w:rPr>
        <w:rFonts w:hint="eastAsia" w:ascii="宋体" w:hAnsi="宋体" w:eastAsia="宋体" w:cs="宋体"/>
        <w:szCs w:val="21"/>
        <w:lang w:eastAsia="zh-CN"/>
      </w:rPr>
    </w:pPr>
    <w:r>
      <w:rPr>
        <w:rFonts w:hint="eastAsia" w:ascii="宋体" w:hAnsi="宋体" w:eastAsia="宋体" w:cs="宋体"/>
        <w:szCs w:val="21"/>
      </w:rPr>
      <w:t>凉山高新技术产业园区配套道路项目─钢钒南路辅道</w:t>
    </w:r>
    <w:r>
      <w:rPr>
        <w:rFonts w:hint="eastAsia" w:ascii="宋体" w:hAnsi="宋体" w:eastAsia="宋体" w:cs="宋体"/>
        <w:color w:val="000000"/>
        <w:szCs w:val="21"/>
      </w:rPr>
      <w:t xml:space="preserve">                                                                                                                                               </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cs="宋体"/>
        <w:color w:val="000000"/>
        <w:szCs w:val="21"/>
        <w:lang w:val="en-US" w:eastAsia="zh-CN"/>
      </w:rPr>
      <w:t>JA</w:t>
    </w:r>
    <w:r>
      <w:rPr>
        <w:rFonts w:hint="eastAsia" w:ascii="宋体" w:hAnsi="宋体" w:eastAsia="宋体" w:cs="宋体"/>
        <w:color w:val="000000"/>
        <w:szCs w:val="21"/>
      </w:rPr>
      <w:t>-0</w:t>
    </w:r>
    <w:r>
      <w:rPr>
        <w:rFonts w:hint="eastAsia" w:ascii="宋体" w:hAnsi="宋体" w:cs="宋体"/>
        <w:color w:val="000000"/>
        <w:szCs w:val="21"/>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0A48F"/>
    <w:multiLevelType w:val="singleLevel"/>
    <w:tmpl w:val="8940A48F"/>
    <w:lvl w:ilvl="0" w:tentative="0">
      <w:start w:val="1"/>
      <w:numFmt w:val="decimalEnclosedCircleChinese"/>
      <w:suff w:val="space"/>
      <w:lvlText w:val="%1"/>
      <w:lvlJc w:val="left"/>
      <w:pPr>
        <w:ind w:left="0" w:firstLine="454"/>
      </w:pPr>
      <w:rPr>
        <w:rFonts w:hint="eastAsia" w:ascii="宋体" w:hAnsi="宋体" w:eastAsia="宋体" w:cs="宋体"/>
      </w:rPr>
    </w:lvl>
  </w:abstractNum>
  <w:abstractNum w:abstractNumId="1">
    <w:nsid w:val="9E9CD218"/>
    <w:multiLevelType w:val="multilevel"/>
    <w:tmpl w:val="9E9CD218"/>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438A721"/>
    <w:multiLevelType w:val="multilevel"/>
    <w:tmpl w:val="A438A721"/>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BB0B60F0"/>
    <w:multiLevelType w:val="multilevel"/>
    <w:tmpl w:val="BB0B60F0"/>
    <w:lvl w:ilvl="0" w:tentative="0">
      <w:start w:val="1"/>
      <w:numFmt w:val="bullet"/>
      <w:suff w:val="space"/>
      <w:lvlText w:val=""/>
      <w:lvlJc w:val="left"/>
      <w:pPr>
        <w:ind w:left="1487" w:hanging="420"/>
      </w:pPr>
      <w:rPr>
        <w:rFonts w:hint="default" w:ascii="Wingdings" w:hAnsi="Wingdings"/>
      </w:rPr>
    </w:lvl>
    <w:lvl w:ilvl="1" w:tentative="0">
      <w:start w:val="1"/>
      <w:numFmt w:val="lowerLetter"/>
      <w:lvlText w:val="%2)"/>
      <w:lvlJc w:val="left"/>
      <w:pPr>
        <w:tabs>
          <w:tab w:val="left" w:pos="1708"/>
        </w:tabs>
        <w:ind w:left="1708" w:hanging="420"/>
      </w:pPr>
    </w:lvl>
    <w:lvl w:ilvl="2" w:tentative="0">
      <w:start w:val="1"/>
      <w:numFmt w:val="lowerRoman"/>
      <w:lvlText w:val="%3."/>
      <w:lvlJc w:val="right"/>
      <w:pPr>
        <w:tabs>
          <w:tab w:val="left" w:pos="2128"/>
        </w:tabs>
        <w:ind w:left="2128" w:hanging="420"/>
      </w:pPr>
    </w:lvl>
    <w:lvl w:ilvl="3" w:tentative="0">
      <w:start w:val="1"/>
      <w:numFmt w:val="decimal"/>
      <w:lvlText w:val="%4."/>
      <w:lvlJc w:val="left"/>
      <w:pPr>
        <w:tabs>
          <w:tab w:val="left" w:pos="2548"/>
        </w:tabs>
        <w:ind w:left="2548" w:hanging="420"/>
      </w:pPr>
    </w:lvl>
    <w:lvl w:ilvl="4" w:tentative="0">
      <w:start w:val="1"/>
      <w:numFmt w:val="lowerLetter"/>
      <w:lvlText w:val="%5)"/>
      <w:lvlJc w:val="left"/>
      <w:pPr>
        <w:tabs>
          <w:tab w:val="left" w:pos="2968"/>
        </w:tabs>
        <w:ind w:left="2968" w:hanging="420"/>
      </w:pPr>
    </w:lvl>
    <w:lvl w:ilvl="5" w:tentative="0">
      <w:start w:val="1"/>
      <w:numFmt w:val="lowerRoman"/>
      <w:lvlText w:val="%6."/>
      <w:lvlJc w:val="right"/>
      <w:pPr>
        <w:tabs>
          <w:tab w:val="left" w:pos="3388"/>
        </w:tabs>
        <w:ind w:left="3388" w:hanging="420"/>
      </w:pPr>
    </w:lvl>
    <w:lvl w:ilvl="6" w:tentative="0">
      <w:start w:val="1"/>
      <w:numFmt w:val="decimal"/>
      <w:lvlText w:val="%7."/>
      <w:lvlJc w:val="left"/>
      <w:pPr>
        <w:tabs>
          <w:tab w:val="left" w:pos="3808"/>
        </w:tabs>
        <w:ind w:left="3808" w:hanging="420"/>
      </w:pPr>
    </w:lvl>
    <w:lvl w:ilvl="7" w:tentative="0">
      <w:start w:val="1"/>
      <w:numFmt w:val="lowerLetter"/>
      <w:lvlText w:val="%8)"/>
      <w:lvlJc w:val="left"/>
      <w:pPr>
        <w:tabs>
          <w:tab w:val="left" w:pos="4228"/>
        </w:tabs>
        <w:ind w:left="4228" w:hanging="420"/>
      </w:pPr>
    </w:lvl>
    <w:lvl w:ilvl="8" w:tentative="0">
      <w:start w:val="1"/>
      <w:numFmt w:val="lowerRoman"/>
      <w:lvlText w:val="%9."/>
      <w:lvlJc w:val="right"/>
      <w:pPr>
        <w:tabs>
          <w:tab w:val="left" w:pos="4648"/>
        </w:tabs>
        <w:ind w:left="4648" w:hanging="420"/>
      </w:pPr>
    </w:lvl>
  </w:abstractNum>
  <w:abstractNum w:abstractNumId="4">
    <w:nsid w:val="04020F2B"/>
    <w:multiLevelType w:val="singleLevel"/>
    <w:tmpl w:val="04020F2B"/>
    <w:lvl w:ilvl="0" w:tentative="0">
      <w:start w:val="1"/>
      <w:numFmt w:val="decimal"/>
      <w:lvlText w:val="%1）"/>
      <w:lvlJc w:val="left"/>
      <w:pPr>
        <w:tabs>
          <w:tab w:val="left" w:pos="425"/>
        </w:tabs>
        <w:ind w:left="0" w:leftChars="0" w:firstLine="425" w:firstLineChars="0"/>
      </w:pPr>
      <w:rPr>
        <w:rFonts w:hint="default"/>
      </w:rPr>
    </w:lvl>
  </w:abstractNum>
  <w:abstractNum w:abstractNumId="5">
    <w:nsid w:val="05592616"/>
    <w:multiLevelType w:val="multilevel"/>
    <w:tmpl w:val="05592616"/>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41B1D94"/>
    <w:multiLevelType w:val="multilevel"/>
    <w:tmpl w:val="141B1D94"/>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15A24B4"/>
    <w:multiLevelType w:val="multilevel"/>
    <w:tmpl w:val="215A24B4"/>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8">
    <w:nsid w:val="244E2127"/>
    <w:multiLevelType w:val="multilevel"/>
    <w:tmpl w:val="244E2127"/>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48C8B04"/>
    <w:multiLevelType w:val="multilevel"/>
    <w:tmpl w:val="248C8B04"/>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383DE62"/>
    <w:multiLevelType w:val="multilevel"/>
    <w:tmpl w:val="4383DE62"/>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45B4A91"/>
    <w:multiLevelType w:val="singleLevel"/>
    <w:tmpl w:val="445B4A91"/>
    <w:lvl w:ilvl="0" w:tentative="0">
      <w:start w:val="1"/>
      <w:numFmt w:val="decimal"/>
      <w:lvlText w:val="%1）"/>
      <w:lvlJc w:val="left"/>
      <w:pPr>
        <w:tabs>
          <w:tab w:val="left" w:pos="425"/>
        </w:tabs>
        <w:ind w:left="0" w:leftChars="0" w:firstLine="425" w:firstLineChars="0"/>
      </w:pPr>
      <w:rPr>
        <w:rFonts w:hint="default"/>
      </w:rPr>
    </w:lvl>
  </w:abstractNum>
  <w:abstractNum w:abstractNumId="12">
    <w:nsid w:val="5063AEAB"/>
    <w:multiLevelType w:val="multilevel"/>
    <w:tmpl w:val="5063AEAB"/>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95945E7"/>
    <w:multiLevelType w:val="multilevel"/>
    <w:tmpl w:val="595945E7"/>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4">
    <w:nsid w:val="5E4AF1DD"/>
    <w:multiLevelType w:val="singleLevel"/>
    <w:tmpl w:val="5E4AF1DD"/>
    <w:lvl w:ilvl="0" w:tentative="0">
      <w:start w:val="1"/>
      <w:numFmt w:val="decimalEnclosedCircleChinese"/>
      <w:suff w:val="space"/>
      <w:lvlText w:val="%1"/>
      <w:lvlJc w:val="left"/>
      <w:pPr>
        <w:ind w:left="0" w:firstLine="454"/>
      </w:pPr>
      <w:rPr>
        <w:rFonts w:hint="eastAsia" w:ascii="宋体" w:hAnsi="宋体" w:eastAsia="宋体" w:cs="宋体"/>
      </w:rPr>
    </w:lvl>
  </w:abstractNum>
  <w:abstractNum w:abstractNumId="15">
    <w:nsid w:val="665AF149"/>
    <w:multiLevelType w:val="multilevel"/>
    <w:tmpl w:val="665AF149"/>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9EE871F"/>
    <w:multiLevelType w:val="multilevel"/>
    <w:tmpl w:val="69EE871F"/>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E575176"/>
    <w:multiLevelType w:val="multilevel"/>
    <w:tmpl w:val="6E575176"/>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589D0F6"/>
    <w:multiLevelType w:val="multilevel"/>
    <w:tmpl w:val="7589D0F6"/>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3"/>
  </w:num>
  <w:num w:numId="2">
    <w:abstractNumId w:val="0"/>
  </w:num>
  <w:num w:numId="3">
    <w:abstractNumId w:val="6"/>
  </w:num>
  <w:num w:numId="4">
    <w:abstractNumId w:val="16"/>
  </w:num>
  <w:num w:numId="5">
    <w:abstractNumId w:val="17"/>
  </w:num>
  <w:num w:numId="6">
    <w:abstractNumId w:val="14"/>
  </w:num>
  <w:num w:numId="7">
    <w:abstractNumId w:val="1"/>
  </w:num>
  <w:num w:numId="8">
    <w:abstractNumId w:val="9"/>
  </w:num>
  <w:num w:numId="9">
    <w:abstractNumId w:val="3"/>
  </w:num>
  <w:num w:numId="10">
    <w:abstractNumId w:val="18"/>
  </w:num>
  <w:num w:numId="11">
    <w:abstractNumId w:val="7"/>
  </w:num>
  <w:num w:numId="12">
    <w:abstractNumId w:val="12"/>
  </w:num>
  <w:num w:numId="13">
    <w:abstractNumId w:val="5"/>
  </w:num>
  <w:num w:numId="14">
    <w:abstractNumId w:val="11"/>
  </w:num>
  <w:num w:numId="15">
    <w:abstractNumId w:val="10"/>
  </w:num>
  <w:num w:numId="16">
    <w:abstractNumId w:val="2"/>
  </w:num>
  <w:num w:numId="17">
    <w:abstractNumId w:val="8"/>
  </w:num>
  <w:num w:numId="18">
    <w:abstractNumId w:val="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printPostScriptOverText/>
  <w:bordersDoNotSurroundHeader w:val="1"/>
  <w:bordersDoNotSurroundFooter w:val="1"/>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20"/>
  <w:drawingGridVerticalSpacing w:val="165"/>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999"/>
    <w:rsid w:val="00002065"/>
    <w:rsid w:val="0000269B"/>
    <w:rsid w:val="00002BF1"/>
    <w:rsid w:val="00011F7C"/>
    <w:rsid w:val="000151F3"/>
    <w:rsid w:val="00015A1C"/>
    <w:rsid w:val="0001656C"/>
    <w:rsid w:val="00017CC6"/>
    <w:rsid w:val="00020072"/>
    <w:rsid w:val="000213E2"/>
    <w:rsid w:val="00022E70"/>
    <w:rsid w:val="00023407"/>
    <w:rsid w:val="0002387B"/>
    <w:rsid w:val="00024213"/>
    <w:rsid w:val="000251D0"/>
    <w:rsid w:val="0002669A"/>
    <w:rsid w:val="0003336E"/>
    <w:rsid w:val="00033CD5"/>
    <w:rsid w:val="00034BB7"/>
    <w:rsid w:val="00036797"/>
    <w:rsid w:val="00041B46"/>
    <w:rsid w:val="00042A72"/>
    <w:rsid w:val="000431A9"/>
    <w:rsid w:val="000442FE"/>
    <w:rsid w:val="00044569"/>
    <w:rsid w:val="00046AA6"/>
    <w:rsid w:val="000552B7"/>
    <w:rsid w:val="00061663"/>
    <w:rsid w:val="000619FD"/>
    <w:rsid w:val="000633BE"/>
    <w:rsid w:val="0006344E"/>
    <w:rsid w:val="00066F9B"/>
    <w:rsid w:val="00067612"/>
    <w:rsid w:val="00067F0B"/>
    <w:rsid w:val="000721AC"/>
    <w:rsid w:val="00073494"/>
    <w:rsid w:val="000737D3"/>
    <w:rsid w:val="000748B6"/>
    <w:rsid w:val="00074D0B"/>
    <w:rsid w:val="00075258"/>
    <w:rsid w:val="00075493"/>
    <w:rsid w:val="0007609B"/>
    <w:rsid w:val="00076394"/>
    <w:rsid w:val="00076CB1"/>
    <w:rsid w:val="00076CC0"/>
    <w:rsid w:val="0007749D"/>
    <w:rsid w:val="00081DCF"/>
    <w:rsid w:val="00082B75"/>
    <w:rsid w:val="0008328A"/>
    <w:rsid w:val="0008342F"/>
    <w:rsid w:val="00083BB5"/>
    <w:rsid w:val="000842CA"/>
    <w:rsid w:val="00084AC6"/>
    <w:rsid w:val="00085EB6"/>
    <w:rsid w:val="00091C14"/>
    <w:rsid w:val="00094642"/>
    <w:rsid w:val="00096879"/>
    <w:rsid w:val="000A1349"/>
    <w:rsid w:val="000A1AFF"/>
    <w:rsid w:val="000A48F2"/>
    <w:rsid w:val="000A4FF9"/>
    <w:rsid w:val="000A64CC"/>
    <w:rsid w:val="000A6D39"/>
    <w:rsid w:val="000A72B3"/>
    <w:rsid w:val="000A77A0"/>
    <w:rsid w:val="000A7DEC"/>
    <w:rsid w:val="000B2BA3"/>
    <w:rsid w:val="000B38B4"/>
    <w:rsid w:val="000B4645"/>
    <w:rsid w:val="000B7471"/>
    <w:rsid w:val="000B77C0"/>
    <w:rsid w:val="000C2E70"/>
    <w:rsid w:val="000C308F"/>
    <w:rsid w:val="000C3D51"/>
    <w:rsid w:val="000C57CD"/>
    <w:rsid w:val="000C67C9"/>
    <w:rsid w:val="000C722E"/>
    <w:rsid w:val="000C7D86"/>
    <w:rsid w:val="000D0B33"/>
    <w:rsid w:val="000D0FA3"/>
    <w:rsid w:val="000D23DF"/>
    <w:rsid w:val="000D4EDD"/>
    <w:rsid w:val="000D5CC6"/>
    <w:rsid w:val="000D6789"/>
    <w:rsid w:val="000E0BCD"/>
    <w:rsid w:val="000E0C89"/>
    <w:rsid w:val="000E4DD6"/>
    <w:rsid w:val="000E5569"/>
    <w:rsid w:val="000F0B97"/>
    <w:rsid w:val="000F15E3"/>
    <w:rsid w:val="000F1735"/>
    <w:rsid w:val="000F262C"/>
    <w:rsid w:val="000F3146"/>
    <w:rsid w:val="000F3DA1"/>
    <w:rsid w:val="000F3DF9"/>
    <w:rsid w:val="000F4A3E"/>
    <w:rsid w:val="000F659E"/>
    <w:rsid w:val="00102C53"/>
    <w:rsid w:val="001050E7"/>
    <w:rsid w:val="00105DAA"/>
    <w:rsid w:val="00106BAF"/>
    <w:rsid w:val="00107000"/>
    <w:rsid w:val="00107B2F"/>
    <w:rsid w:val="00107F9B"/>
    <w:rsid w:val="00110D17"/>
    <w:rsid w:val="00110FDC"/>
    <w:rsid w:val="00111FA5"/>
    <w:rsid w:val="001129A9"/>
    <w:rsid w:val="001133A8"/>
    <w:rsid w:val="001134F4"/>
    <w:rsid w:val="00114578"/>
    <w:rsid w:val="001155CF"/>
    <w:rsid w:val="001176F7"/>
    <w:rsid w:val="0012124A"/>
    <w:rsid w:val="00124BFD"/>
    <w:rsid w:val="00125783"/>
    <w:rsid w:val="00125CC0"/>
    <w:rsid w:val="00126617"/>
    <w:rsid w:val="00126DC4"/>
    <w:rsid w:val="00132DA3"/>
    <w:rsid w:val="001332A8"/>
    <w:rsid w:val="001448C2"/>
    <w:rsid w:val="00144BD5"/>
    <w:rsid w:val="00146EBC"/>
    <w:rsid w:val="0014708E"/>
    <w:rsid w:val="001531B9"/>
    <w:rsid w:val="00153406"/>
    <w:rsid w:val="00153C12"/>
    <w:rsid w:val="00154821"/>
    <w:rsid w:val="00155EBC"/>
    <w:rsid w:val="00157328"/>
    <w:rsid w:val="00163BB0"/>
    <w:rsid w:val="00164225"/>
    <w:rsid w:val="00164311"/>
    <w:rsid w:val="0016540C"/>
    <w:rsid w:val="001656E1"/>
    <w:rsid w:val="0016584A"/>
    <w:rsid w:val="00166F82"/>
    <w:rsid w:val="00170358"/>
    <w:rsid w:val="00172A27"/>
    <w:rsid w:val="00176F35"/>
    <w:rsid w:val="0017750B"/>
    <w:rsid w:val="00180081"/>
    <w:rsid w:val="00180E74"/>
    <w:rsid w:val="00181836"/>
    <w:rsid w:val="00184848"/>
    <w:rsid w:val="001860A1"/>
    <w:rsid w:val="0018685F"/>
    <w:rsid w:val="00190D24"/>
    <w:rsid w:val="00194033"/>
    <w:rsid w:val="00194268"/>
    <w:rsid w:val="001942E5"/>
    <w:rsid w:val="00196149"/>
    <w:rsid w:val="00196266"/>
    <w:rsid w:val="00196567"/>
    <w:rsid w:val="00196E6A"/>
    <w:rsid w:val="001976FB"/>
    <w:rsid w:val="001A1C81"/>
    <w:rsid w:val="001A4932"/>
    <w:rsid w:val="001A59BE"/>
    <w:rsid w:val="001A7E72"/>
    <w:rsid w:val="001B0498"/>
    <w:rsid w:val="001B09EB"/>
    <w:rsid w:val="001B637C"/>
    <w:rsid w:val="001B67BF"/>
    <w:rsid w:val="001C0E7C"/>
    <w:rsid w:val="001C11D1"/>
    <w:rsid w:val="001C4C78"/>
    <w:rsid w:val="001D02F1"/>
    <w:rsid w:val="001D091F"/>
    <w:rsid w:val="001D0B39"/>
    <w:rsid w:val="001D3771"/>
    <w:rsid w:val="001D5584"/>
    <w:rsid w:val="001D7896"/>
    <w:rsid w:val="001E4897"/>
    <w:rsid w:val="001E5AC5"/>
    <w:rsid w:val="001E677D"/>
    <w:rsid w:val="001E6F24"/>
    <w:rsid w:val="001E7690"/>
    <w:rsid w:val="001F2B3F"/>
    <w:rsid w:val="001F2D69"/>
    <w:rsid w:val="001F3E8E"/>
    <w:rsid w:val="002009EC"/>
    <w:rsid w:val="00200A1B"/>
    <w:rsid w:val="00202071"/>
    <w:rsid w:val="00203732"/>
    <w:rsid w:val="0020427B"/>
    <w:rsid w:val="00205AEB"/>
    <w:rsid w:val="00206301"/>
    <w:rsid w:val="00206302"/>
    <w:rsid w:val="00211B2C"/>
    <w:rsid w:val="00212B15"/>
    <w:rsid w:val="00212E0D"/>
    <w:rsid w:val="00213705"/>
    <w:rsid w:val="002155FE"/>
    <w:rsid w:val="00217B51"/>
    <w:rsid w:val="002211D5"/>
    <w:rsid w:val="00223AE3"/>
    <w:rsid w:val="0022459D"/>
    <w:rsid w:val="00225399"/>
    <w:rsid w:val="00225D20"/>
    <w:rsid w:val="0022732A"/>
    <w:rsid w:val="002279E6"/>
    <w:rsid w:val="00227C3A"/>
    <w:rsid w:val="00227E88"/>
    <w:rsid w:val="002307B9"/>
    <w:rsid w:val="002405BA"/>
    <w:rsid w:val="002407C9"/>
    <w:rsid w:val="0024153C"/>
    <w:rsid w:val="0024195A"/>
    <w:rsid w:val="00241F55"/>
    <w:rsid w:val="00243336"/>
    <w:rsid w:val="002433C3"/>
    <w:rsid w:val="00243CBC"/>
    <w:rsid w:val="002443DE"/>
    <w:rsid w:val="00244809"/>
    <w:rsid w:val="0025012E"/>
    <w:rsid w:val="002504F5"/>
    <w:rsid w:val="002520C6"/>
    <w:rsid w:val="002529D0"/>
    <w:rsid w:val="0025320E"/>
    <w:rsid w:val="00253E89"/>
    <w:rsid w:val="002543B7"/>
    <w:rsid w:val="0025448A"/>
    <w:rsid w:val="0025550D"/>
    <w:rsid w:val="002561ED"/>
    <w:rsid w:val="002568A3"/>
    <w:rsid w:val="00260983"/>
    <w:rsid w:val="002624C8"/>
    <w:rsid w:val="00262DF2"/>
    <w:rsid w:val="00263775"/>
    <w:rsid w:val="00265408"/>
    <w:rsid w:val="00265750"/>
    <w:rsid w:val="00266755"/>
    <w:rsid w:val="00266A1E"/>
    <w:rsid w:val="00270C4C"/>
    <w:rsid w:val="00273353"/>
    <w:rsid w:val="00273A9D"/>
    <w:rsid w:val="0027503A"/>
    <w:rsid w:val="002756F3"/>
    <w:rsid w:val="00276DB1"/>
    <w:rsid w:val="00281F1D"/>
    <w:rsid w:val="00287DE7"/>
    <w:rsid w:val="00291220"/>
    <w:rsid w:val="00291716"/>
    <w:rsid w:val="00291E1C"/>
    <w:rsid w:val="0029449C"/>
    <w:rsid w:val="002952C9"/>
    <w:rsid w:val="002958EB"/>
    <w:rsid w:val="00295BB9"/>
    <w:rsid w:val="0029705B"/>
    <w:rsid w:val="002A06CB"/>
    <w:rsid w:val="002A45AB"/>
    <w:rsid w:val="002B03C0"/>
    <w:rsid w:val="002B1197"/>
    <w:rsid w:val="002B2285"/>
    <w:rsid w:val="002B228E"/>
    <w:rsid w:val="002B2A35"/>
    <w:rsid w:val="002B2BB4"/>
    <w:rsid w:val="002B5D71"/>
    <w:rsid w:val="002B6C09"/>
    <w:rsid w:val="002B73D5"/>
    <w:rsid w:val="002C1F51"/>
    <w:rsid w:val="002C2E58"/>
    <w:rsid w:val="002C4ACD"/>
    <w:rsid w:val="002D03B1"/>
    <w:rsid w:val="002D1013"/>
    <w:rsid w:val="002D188A"/>
    <w:rsid w:val="002D1B8B"/>
    <w:rsid w:val="002D4365"/>
    <w:rsid w:val="002D46ED"/>
    <w:rsid w:val="002D5322"/>
    <w:rsid w:val="002D55DD"/>
    <w:rsid w:val="002D6D14"/>
    <w:rsid w:val="002D793C"/>
    <w:rsid w:val="002E0AF2"/>
    <w:rsid w:val="002E20ED"/>
    <w:rsid w:val="002E2DDB"/>
    <w:rsid w:val="002E2F6D"/>
    <w:rsid w:val="002E31B7"/>
    <w:rsid w:val="002E37E7"/>
    <w:rsid w:val="002E5D4B"/>
    <w:rsid w:val="002E6C80"/>
    <w:rsid w:val="002E75E9"/>
    <w:rsid w:val="002F171E"/>
    <w:rsid w:val="002F2B24"/>
    <w:rsid w:val="002F4FCD"/>
    <w:rsid w:val="002F5E81"/>
    <w:rsid w:val="002F631C"/>
    <w:rsid w:val="002F67AE"/>
    <w:rsid w:val="002F7F34"/>
    <w:rsid w:val="00300BF1"/>
    <w:rsid w:val="0030195D"/>
    <w:rsid w:val="003019F9"/>
    <w:rsid w:val="00303192"/>
    <w:rsid w:val="00303529"/>
    <w:rsid w:val="00303ADC"/>
    <w:rsid w:val="00303C4C"/>
    <w:rsid w:val="00304159"/>
    <w:rsid w:val="00304714"/>
    <w:rsid w:val="00305C6E"/>
    <w:rsid w:val="00306062"/>
    <w:rsid w:val="00306360"/>
    <w:rsid w:val="00306BF0"/>
    <w:rsid w:val="00307151"/>
    <w:rsid w:val="003138F8"/>
    <w:rsid w:val="00315404"/>
    <w:rsid w:val="00316F04"/>
    <w:rsid w:val="00317B32"/>
    <w:rsid w:val="003232BC"/>
    <w:rsid w:val="00323801"/>
    <w:rsid w:val="00323CBB"/>
    <w:rsid w:val="00324880"/>
    <w:rsid w:val="00326BDA"/>
    <w:rsid w:val="003279D8"/>
    <w:rsid w:val="00327CEA"/>
    <w:rsid w:val="003306BA"/>
    <w:rsid w:val="0033156B"/>
    <w:rsid w:val="00333A0F"/>
    <w:rsid w:val="00334867"/>
    <w:rsid w:val="003362BC"/>
    <w:rsid w:val="0034031E"/>
    <w:rsid w:val="00340463"/>
    <w:rsid w:val="00341283"/>
    <w:rsid w:val="0034185B"/>
    <w:rsid w:val="00344640"/>
    <w:rsid w:val="0034484E"/>
    <w:rsid w:val="0034655C"/>
    <w:rsid w:val="003469CD"/>
    <w:rsid w:val="00347ACE"/>
    <w:rsid w:val="00347B27"/>
    <w:rsid w:val="00350DFF"/>
    <w:rsid w:val="00350E61"/>
    <w:rsid w:val="003514E0"/>
    <w:rsid w:val="00351C35"/>
    <w:rsid w:val="00351DE1"/>
    <w:rsid w:val="00351ED9"/>
    <w:rsid w:val="0035295A"/>
    <w:rsid w:val="00354642"/>
    <w:rsid w:val="00355B61"/>
    <w:rsid w:val="00356153"/>
    <w:rsid w:val="00356CAF"/>
    <w:rsid w:val="0036280E"/>
    <w:rsid w:val="00364639"/>
    <w:rsid w:val="00372BAF"/>
    <w:rsid w:val="00372BB9"/>
    <w:rsid w:val="003730B0"/>
    <w:rsid w:val="003745FC"/>
    <w:rsid w:val="00374ADA"/>
    <w:rsid w:val="003753F9"/>
    <w:rsid w:val="00375D6E"/>
    <w:rsid w:val="003764D2"/>
    <w:rsid w:val="00376EED"/>
    <w:rsid w:val="00377AED"/>
    <w:rsid w:val="00383ACA"/>
    <w:rsid w:val="00384D31"/>
    <w:rsid w:val="00387159"/>
    <w:rsid w:val="003877C8"/>
    <w:rsid w:val="00387D10"/>
    <w:rsid w:val="00387FD0"/>
    <w:rsid w:val="00393BF4"/>
    <w:rsid w:val="003975CC"/>
    <w:rsid w:val="00397A29"/>
    <w:rsid w:val="003A3F46"/>
    <w:rsid w:val="003A480E"/>
    <w:rsid w:val="003A60C2"/>
    <w:rsid w:val="003A64F0"/>
    <w:rsid w:val="003A6995"/>
    <w:rsid w:val="003A6CD3"/>
    <w:rsid w:val="003A78FF"/>
    <w:rsid w:val="003B3CD9"/>
    <w:rsid w:val="003B3F90"/>
    <w:rsid w:val="003B4328"/>
    <w:rsid w:val="003B455E"/>
    <w:rsid w:val="003B5293"/>
    <w:rsid w:val="003B5E18"/>
    <w:rsid w:val="003C10BF"/>
    <w:rsid w:val="003C4E1C"/>
    <w:rsid w:val="003C58D9"/>
    <w:rsid w:val="003C69CB"/>
    <w:rsid w:val="003C7135"/>
    <w:rsid w:val="003D0ECB"/>
    <w:rsid w:val="003D2681"/>
    <w:rsid w:val="003D632C"/>
    <w:rsid w:val="003E08FC"/>
    <w:rsid w:val="003E1BD8"/>
    <w:rsid w:val="003E1C1C"/>
    <w:rsid w:val="003E1CA1"/>
    <w:rsid w:val="003E4775"/>
    <w:rsid w:val="003E4B78"/>
    <w:rsid w:val="003E524E"/>
    <w:rsid w:val="003E59FC"/>
    <w:rsid w:val="003E5A1B"/>
    <w:rsid w:val="003E7F34"/>
    <w:rsid w:val="003F293B"/>
    <w:rsid w:val="003F3D8F"/>
    <w:rsid w:val="003F58A4"/>
    <w:rsid w:val="00400FFF"/>
    <w:rsid w:val="004011FC"/>
    <w:rsid w:val="00403159"/>
    <w:rsid w:val="00404FAC"/>
    <w:rsid w:val="00407137"/>
    <w:rsid w:val="00407A6C"/>
    <w:rsid w:val="00407C5D"/>
    <w:rsid w:val="00407C7C"/>
    <w:rsid w:val="00411369"/>
    <w:rsid w:val="00411668"/>
    <w:rsid w:val="00412830"/>
    <w:rsid w:val="0041355E"/>
    <w:rsid w:val="00413845"/>
    <w:rsid w:val="00413DAD"/>
    <w:rsid w:val="0041449F"/>
    <w:rsid w:val="004204F2"/>
    <w:rsid w:val="004229BD"/>
    <w:rsid w:val="00424BE4"/>
    <w:rsid w:val="00424D16"/>
    <w:rsid w:val="00425A97"/>
    <w:rsid w:val="0042694D"/>
    <w:rsid w:val="00430D25"/>
    <w:rsid w:val="00431289"/>
    <w:rsid w:val="00431901"/>
    <w:rsid w:val="0044176F"/>
    <w:rsid w:val="00441BAD"/>
    <w:rsid w:val="004437AC"/>
    <w:rsid w:val="00444E73"/>
    <w:rsid w:val="00444EB6"/>
    <w:rsid w:val="0044572F"/>
    <w:rsid w:val="00445EA6"/>
    <w:rsid w:val="00446F2E"/>
    <w:rsid w:val="004505A4"/>
    <w:rsid w:val="00450B90"/>
    <w:rsid w:val="004536C7"/>
    <w:rsid w:val="00454819"/>
    <w:rsid w:val="00454C38"/>
    <w:rsid w:val="00455E1F"/>
    <w:rsid w:val="00456C8E"/>
    <w:rsid w:val="00456FAC"/>
    <w:rsid w:val="00457B5C"/>
    <w:rsid w:val="00460C49"/>
    <w:rsid w:val="00460CFA"/>
    <w:rsid w:val="0046398D"/>
    <w:rsid w:val="00463A2A"/>
    <w:rsid w:val="00464647"/>
    <w:rsid w:val="004656F8"/>
    <w:rsid w:val="00465DDA"/>
    <w:rsid w:val="00466837"/>
    <w:rsid w:val="004700D4"/>
    <w:rsid w:val="00471763"/>
    <w:rsid w:val="00471974"/>
    <w:rsid w:val="00471BB5"/>
    <w:rsid w:val="004721E8"/>
    <w:rsid w:val="00473894"/>
    <w:rsid w:val="0047436B"/>
    <w:rsid w:val="00474453"/>
    <w:rsid w:val="00475F52"/>
    <w:rsid w:val="004765FD"/>
    <w:rsid w:val="004772ED"/>
    <w:rsid w:val="0047769A"/>
    <w:rsid w:val="00477979"/>
    <w:rsid w:val="00477BE5"/>
    <w:rsid w:val="00480A66"/>
    <w:rsid w:val="00483685"/>
    <w:rsid w:val="00484786"/>
    <w:rsid w:val="0048501F"/>
    <w:rsid w:val="00485F61"/>
    <w:rsid w:val="004872B9"/>
    <w:rsid w:val="0049128B"/>
    <w:rsid w:val="00491925"/>
    <w:rsid w:val="0049258F"/>
    <w:rsid w:val="00492F77"/>
    <w:rsid w:val="00493647"/>
    <w:rsid w:val="0049398C"/>
    <w:rsid w:val="00494908"/>
    <w:rsid w:val="0049538C"/>
    <w:rsid w:val="004976CD"/>
    <w:rsid w:val="004A276E"/>
    <w:rsid w:val="004A2B3B"/>
    <w:rsid w:val="004A2D3A"/>
    <w:rsid w:val="004A57C2"/>
    <w:rsid w:val="004A696A"/>
    <w:rsid w:val="004B0BB3"/>
    <w:rsid w:val="004B25EE"/>
    <w:rsid w:val="004B3B8B"/>
    <w:rsid w:val="004B4769"/>
    <w:rsid w:val="004B5812"/>
    <w:rsid w:val="004B6350"/>
    <w:rsid w:val="004B694D"/>
    <w:rsid w:val="004C15AB"/>
    <w:rsid w:val="004C6659"/>
    <w:rsid w:val="004D0393"/>
    <w:rsid w:val="004D1A9D"/>
    <w:rsid w:val="004D23CA"/>
    <w:rsid w:val="004D4836"/>
    <w:rsid w:val="004D4A47"/>
    <w:rsid w:val="004D609B"/>
    <w:rsid w:val="004D668C"/>
    <w:rsid w:val="004D684B"/>
    <w:rsid w:val="004E01A8"/>
    <w:rsid w:val="004E238A"/>
    <w:rsid w:val="004E3811"/>
    <w:rsid w:val="004E4B62"/>
    <w:rsid w:val="004E73F5"/>
    <w:rsid w:val="004F1A6B"/>
    <w:rsid w:val="004F1D16"/>
    <w:rsid w:val="004F4C44"/>
    <w:rsid w:val="004F6365"/>
    <w:rsid w:val="004F6EF4"/>
    <w:rsid w:val="004F7283"/>
    <w:rsid w:val="00501327"/>
    <w:rsid w:val="00501D9C"/>
    <w:rsid w:val="00503E10"/>
    <w:rsid w:val="0050482E"/>
    <w:rsid w:val="0050652B"/>
    <w:rsid w:val="00507D08"/>
    <w:rsid w:val="00507EF0"/>
    <w:rsid w:val="00511DD6"/>
    <w:rsid w:val="00515C7B"/>
    <w:rsid w:val="00522356"/>
    <w:rsid w:val="00522A7F"/>
    <w:rsid w:val="00527132"/>
    <w:rsid w:val="00530A66"/>
    <w:rsid w:val="00530AFC"/>
    <w:rsid w:val="005339F2"/>
    <w:rsid w:val="0053449F"/>
    <w:rsid w:val="00535D0A"/>
    <w:rsid w:val="005366A7"/>
    <w:rsid w:val="00536D11"/>
    <w:rsid w:val="005419F0"/>
    <w:rsid w:val="005421ED"/>
    <w:rsid w:val="00545367"/>
    <w:rsid w:val="005464F6"/>
    <w:rsid w:val="00546941"/>
    <w:rsid w:val="00547E88"/>
    <w:rsid w:val="00550957"/>
    <w:rsid w:val="00550BF9"/>
    <w:rsid w:val="0055476B"/>
    <w:rsid w:val="00554988"/>
    <w:rsid w:val="005549AD"/>
    <w:rsid w:val="005550AC"/>
    <w:rsid w:val="00555894"/>
    <w:rsid w:val="00556049"/>
    <w:rsid w:val="0056153A"/>
    <w:rsid w:val="00563C69"/>
    <w:rsid w:val="005650E9"/>
    <w:rsid w:val="00567C74"/>
    <w:rsid w:val="00571B4F"/>
    <w:rsid w:val="00576318"/>
    <w:rsid w:val="00577881"/>
    <w:rsid w:val="005816E9"/>
    <w:rsid w:val="00582608"/>
    <w:rsid w:val="00583939"/>
    <w:rsid w:val="00583E79"/>
    <w:rsid w:val="005864E1"/>
    <w:rsid w:val="00592AE1"/>
    <w:rsid w:val="0059476C"/>
    <w:rsid w:val="00596108"/>
    <w:rsid w:val="005965DD"/>
    <w:rsid w:val="00596708"/>
    <w:rsid w:val="005A0A67"/>
    <w:rsid w:val="005A0F11"/>
    <w:rsid w:val="005A1213"/>
    <w:rsid w:val="005A1ACF"/>
    <w:rsid w:val="005A31F0"/>
    <w:rsid w:val="005A67C5"/>
    <w:rsid w:val="005A7B23"/>
    <w:rsid w:val="005B1ED4"/>
    <w:rsid w:val="005B2D03"/>
    <w:rsid w:val="005B5F0C"/>
    <w:rsid w:val="005C022A"/>
    <w:rsid w:val="005C0DC2"/>
    <w:rsid w:val="005C2768"/>
    <w:rsid w:val="005C3D44"/>
    <w:rsid w:val="005C6A4F"/>
    <w:rsid w:val="005D05FB"/>
    <w:rsid w:val="005D0D49"/>
    <w:rsid w:val="005D1012"/>
    <w:rsid w:val="005D13B9"/>
    <w:rsid w:val="005D18CF"/>
    <w:rsid w:val="005D38C9"/>
    <w:rsid w:val="005D464D"/>
    <w:rsid w:val="005E1CF1"/>
    <w:rsid w:val="005E4ABD"/>
    <w:rsid w:val="005E5AE1"/>
    <w:rsid w:val="005F0CB6"/>
    <w:rsid w:val="005F2CB5"/>
    <w:rsid w:val="005F3EC7"/>
    <w:rsid w:val="005F46FC"/>
    <w:rsid w:val="005F633E"/>
    <w:rsid w:val="005F6A3C"/>
    <w:rsid w:val="005F6DC0"/>
    <w:rsid w:val="005F6E08"/>
    <w:rsid w:val="006053AA"/>
    <w:rsid w:val="00605F20"/>
    <w:rsid w:val="00606D57"/>
    <w:rsid w:val="00610567"/>
    <w:rsid w:val="00610674"/>
    <w:rsid w:val="00611808"/>
    <w:rsid w:val="00613E7B"/>
    <w:rsid w:val="00616DC2"/>
    <w:rsid w:val="006228E2"/>
    <w:rsid w:val="00625011"/>
    <w:rsid w:val="006257B3"/>
    <w:rsid w:val="0062600A"/>
    <w:rsid w:val="00626769"/>
    <w:rsid w:val="0062726B"/>
    <w:rsid w:val="006275D1"/>
    <w:rsid w:val="00627724"/>
    <w:rsid w:val="006360AD"/>
    <w:rsid w:val="00636897"/>
    <w:rsid w:val="006408A4"/>
    <w:rsid w:val="00641808"/>
    <w:rsid w:val="00647444"/>
    <w:rsid w:val="00647A38"/>
    <w:rsid w:val="00647CA8"/>
    <w:rsid w:val="00651F6F"/>
    <w:rsid w:val="00653DE8"/>
    <w:rsid w:val="00656A31"/>
    <w:rsid w:val="0066027F"/>
    <w:rsid w:val="0066056C"/>
    <w:rsid w:val="0066244D"/>
    <w:rsid w:val="00664166"/>
    <w:rsid w:val="00664DA1"/>
    <w:rsid w:val="00666CD5"/>
    <w:rsid w:val="00666EB4"/>
    <w:rsid w:val="00667600"/>
    <w:rsid w:val="00671394"/>
    <w:rsid w:val="006713F2"/>
    <w:rsid w:val="00672169"/>
    <w:rsid w:val="00672C98"/>
    <w:rsid w:val="0067597C"/>
    <w:rsid w:val="00676EF8"/>
    <w:rsid w:val="0067791F"/>
    <w:rsid w:val="006803A9"/>
    <w:rsid w:val="006828EE"/>
    <w:rsid w:val="00682C40"/>
    <w:rsid w:val="00683BB4"/>
    <w:rsid w:val="006841CD"/>
    <w:rsid w:val="006843CE"/>
    <w:rsid w:val="006845A6"/>
    <w:rsid w:val="00686630"/>
    <w:rsid w:val="0069414C"/>
    <w:rsid w:val="006958BA"/>
    <w:rsid w:val="00696E17"/>
    <w:rsid w:val="006A1517"/>
    <w:rsid w:val="006A27DA"/>
    <w:rsid w:val="006A2BEF"/>
    <w:rsid w:val="006A2EC0"/>
    <w:rsid w:val="006A348A"/>
    <w:rsid w:val="006A4AD0"/>
    <w:rsid w:val="006A51AC"/>
    <w:rsid w:val="006A5485"/>
    <w:rsid w:val="006A65B6"/>
    <w:rsid w:val="006A7554"/>
    <w:rsid w:val="006B09BB"/>
    <w:rsid w:val="006B0FFC"/>
    <w:rsid w:val="006B1B86"/>
    <w:rsid w:val="006B1F18"/>
    <w:rsid w:val="006B2697"/>
    <w:rsid w:val="006B453A"/>
    <w:rsid w:val="006B5533"/>
    <w:rsid w:val="006B5CEE"/>
    <w:rsid w:val="006B78A8"/>
    <w:rsid w:val="006C4489"/>
    <w:rsid w:val="006C4900"/>
    <w:rsid w:val="006C4959"/>
    <w:rsid w:val="006C69CF"/>
    <w:rsid w:val="006D203B"/>
    <w:rsid w:val="006D2613"/>
    <w:rsid w:val="006D4440"/>
    <w:rsid w:val="006D4D85"/>
    <w:rsid w:val="006D5921"/>
    <w:rsid w:val="006D64C2"/>
    <w:rsid w:val="006D7570"/>
    <w:rsid w:val="006D7579"/>
    <w:rsid w:val="006D7A6D"/>
    <w:rsid w:val="006E2522"/>
    <w:rsid w:val="006E256C"/>
    <w:rsid w:val="006E3F57"/>
    <w:rsid w:val="006E730E"/>
    <w:rsid w:val="006E7E31"/>
    <w:rsid w:val="006F0650"/>
    <w:rsid w:val="006F147D"/>
    <w:rsid w:val="006F2CD1"/>
    <w:rsid w:val="006F3B66"/>
    <w:rsid w:val="00700C3F"/>
    <w:rsid w:val="007019F9"/>
    <w:rsid w:val="007025A2"/>
    <w:rsid w:val="00703A50"/>
    <w:rsid w:val="00705893"/>
    <w:rsid w:val="00706428"/>
    <w:rsid w:val="007100DA"/>
    <w:rsid w:val="007131F2"/>
    <w:rsid w:val="00715350"/>
    <w:rsid w:val="00715B84"/>
    <w:rsid w:val="007169C1"/>
    <w:rsid w:val="007173E8"/>
    <w:rsid w:val="007209B6"/>
    <w:rsid w:val="00720B4A"/>
    <w:rsid w:val="00721E97"/>
    <w:rsid w:val="007225E7"/>
    <w:rsid w:val="00722E8E"/>
    <w:rsid w:val="00722EAE"/>
    <w:rsid w:val="00724783"/>
    <w:rsid w:val="007256CE"/>
    <w:rsid w:val="00726211"/>
    <w:rsid w:val="0072745D"/>
    <w:rsid w:val="00730717"/>
    <w:rsid w:val="0073142C"/>
    <w:rsid w:val="00732AD3"/>
    <w:rsid w:val="00733452"/>
    <w:rsid w:val="00733C32"/>
    <w:rsid w:val="007343D2"/>
    <w:rsid w:val="0073655A"/>
    <w:rsid w:val="00740AFC"/>
    <w:rsid w:val="00741160"/>
    <w:rsid w:val="00742F09"/>
    <w:rsid w:val="00743FB8"/>
    <w:rsid w:val="00744695"/>
    <w:rsid w:val="00744C81"/>
    <w:rsid w:val="00745176"/>
    <w:rsid w:val="00746216"/>
    <w:rsid w:val="00747C1C"/>
    <w:rsid w:val="007537E1"/>
    <w:rsid w:val="007549C2"/>
    <w:rsid w:val="007565E6"/>
    <w:rsid w:val="00756AF8"/>
    <w:rsid w:val="00761E8F"/>
    <w:rsid w:val="00762DE7"/>
    <w:rsid w:val="007633F1"/>
    <w:rsid w:val="00765471"/>
    <w:rsid w:val="00765BBB"/>
    <w:rsid w:val="00767C5B"/>
    <w:rsid w:val="00770531"/>
    <w:rsid w:val="00772662"/>
    <w:rsid w:val="00772A2B"/>
    <w:rsid w:val="00772BDB"/>
    <w:rsid w:val="00773771"/>
    <w:rsid w:val="00773FF1"/>
    <w:rsid w:val="007752DC"/>
    <w:rsid w:val="00775404"/>
    <w:rsid w:val="00775491"/>
    <w:rsid w:val="007757AC"/>
    <w:rsid w:val="00775E80"/>
    <w:rsid w:val="00775F63"/>
    <w:rsid w:val="00777918"/>
    <w:rsid w:val="0078003B"/>
    <w:rsid w:val="00780232"/>
    <w:rsid w:val="00781405"/>
    <w:rsid w:val="00781B01"/>
    <w:rsid w:val="00781C9D"/>
    <w:rsid w:val="00783A34"/>
    <w:rsid w:val="00783F2C"/>
    <w:rsid w:val="00786B76"/>
    <w:rsid w:val="007908AE"/>
    <w:rsid w:val="0079104A"/>
    <w:rsid w:val="007926E9"/>
    <w:rsid w:val="007942F8"/>
    <w:rsid w:val="007949B1"/>
    <w:rsid w:val="00794AE0"/>
    <w:rsid w:val="0079509A"/>
    <w:rsid w:val="00795A4C"/>
    <w:rsid w:val="00796513"/>
    <w:rsid w:val="00796EDC"/>
    <w:rsid w:val="0079709E"/>
    <w:rsid w:val="007976DF"/>
    <w:rsid w:val="00797999"/>
    <w:rsid w:val="007A0024"/>
    <w:rsid w:val="007A1E47"/>
    <w:rsid w:val="007A47F0"/>
    <w:rsid w:val="007A4E3A"/>
    <w:rsid w:val="007A7980"/>
    <w:rsid w:val="007B088F"/>
    <w:rsid w:val="007B15CC"/>
    <w:rsid w:val="007B1811"/>
    <w:rsid w:val="007B27A6"/>
    <w:rsid w:val="007B31D5"/>
    <w:rsid w:val="007B3DE6"/>
    <w:rsid w:val="007B4C19"/>
    <w:rsid w:val="007B4C5C"/>
    <w:rsid w:val="007B7533"/>
    <w:rsid w:val="007B7C87"/>
    <w:rsid w:val="007C01D2"/>
    <w:rsid w:val="007C0BFC"/>
    <w:rsid w:val="007C0FAE"/>
    <w:rsid w:val="007C2FD6"/>
    <w:rsid w:val="007C4B03"/>
    <w:rsid w:val="007C4D2B"/>
    <w:rsid w:val="007C5056"/>
    <w:rsid w:val="007D4CAD"/>
    <w:rsid w:val="007D4F54"/>
    <w:rsid w:val="007D6194"/>
    <w:rsid w:val="007E3377"/>
    <w:rsid w:val="007E511B"/>
    <w:rsid w:val="007E55CE"/>
    <w:rsid w:val="007E7C44"/>
    <w:rsid w:val="007F0949"/>
    <w:rsid w:val="007F172E"/>
    <w:rsid w:val="007F1960"/>
    <w:rsid w:val="007F257C"/>
    <w:rsid w:val="007F25FB"/>
    <w:rsid w:val="007F27EB"/>
    <w:rsid w:val="007F3AE8"/>
    <w:rsid w:val="007F7692"/>
    <w:rsid w:val="007F781C"/>
    <w:rsid w:val="00803EDB"/>
    <w:rsid w:val="00805A86"/>
    <w:rsid w:val="00805C63"/>
    <w:rsid w:val="00807139"/>
    <w:rsid w:val="00807946"/>
    <w:rsid w:val="00812C3C"/>
    <w:rsid w:val="00812F72"/>
    <w:rsid w:val="00813872"/>
    <w:rsid w:val="00814252"/>
    <w:rsid w:val="008160F2"/>
    <w:rsid w:val="00816B69"/>
    <w:rsid w:val="00820497"/>
    <w:rsid w:val="00821E9D"/>
    <w:rsid w:val="008222A9"/>
    <w:rsid w:val="00823C34"/>
    <w:rsid w:val="0083146A"/>
    <w:rsid w:val="00832AAA"/>
    <w:rsid w:val="00834D75"/>
    <w:rsid w:val="00840343"/>
    <w:rsid w:val="00846314"/>
    <w:rsid w:val="0084652A"/>
    <w:rsid w:val="00846B86"/>
    <w:rsid w:val="00851372"/>
    <w:rsid w:val="00853FD9"/>
    <w:rsid w:val="008550A7"/>
    <w:rsid w:val="00855450"/>
    <w:rsid w:val="00855563"/>
    <w:rsid w:val="0085605E"/>
    <w:rsid w:val="00861B0E"/>
    <w:rsid w:val="008639BF"/>
    <w:rsid w:val="00863B5B"/>
    <w:rsid w:val="008675A8"/>
    <w:rsid w:val="00867CD7"/>
    <w:rsid w:val="00872978"/>
    <w:rsid w:val="00873341"/>
    <w:rsid w:val="008758F9"/>
    <w:rsid w:val="00875C83"/>
    <w:rsid w:val="008762E2"/>
    <w:rsid w:val="0087632D"/>
    <w:rsid w:val="00883B5C"/>
    <w:rsid w:val="00883B9C"/>
    <w:rsid w:val="00885AB7"/>
    <w:rsid w:val="00887D7D"/>
    <w:rsid w:val="0089380A"/>
    <w:rsid w:val="008950F3"/>
    <w:rsid w:val="00895DE0"/>
    <w:rsid w:val="008A13BE"/>
    <w:rsid w:val="008A3122"/>
    <w:rsid w:val="008A36A3"/>
    <w:rsid w:val="008A57A3"/>
    <w:rsid w:val="008A6465"/>
    <w:rsid w:val="008B160E"/>
    <w:rsid w:val="008B1BDA"/>
    <w:rsid w:val="008B353B"/>
    <w:rsid w:val="008B3E1B"/>
    <w:rsid w:val="008B40E2"/>
    <w:rsid w:val="008B4F4A"/>
    <w:rsid w:val="008B7481"/>
    <w:rsid w:val="008C39B0"/>
    <w:rsid w:val="008C4AE3"/>
    <w:rsid w:val="008C594E"/>
    <w:rsid w:val="008C6C0D"/>
    <w:rsid w:val="008D031D"/>
    <w:rsid w:val="008D1A1C"/>
    <w:rsid w:val="008D5334"/>
    <w:rsid w:val="008E5B3A"/>
    <w:rsid w:val="008E77AB"/>
    <w:rsid w:val="008F0329"/>
    <w:rsid w:val="008F4B26"/>
    <w:rsid w:val="009003AA"/>
    <w:rsid w:val="00900700"/>
    <w:rsid w:val="00900ED8"/>
    <w:rsid w:val="009012AC"/>
    <w:rsid w:val="00901722"/>
    <w:rsid w:val="00902637"/>
    <w:rsid w:val="009033CE"/>
    <w:rsid w:val="0090408A"/>
    <w:rsid w:val="009045D6"/>
    <w:rsid w:val="00904A90"/>
    <w:rsid w:val="0090569F"/>
    <w:rsid w:val="00907CFE"/>
    <w:rsid w:val="00910224"/>
    <w:rsid w:val="009110DC"/>
    <w:rsid w:val="00911145"/>
    <w:rsid w:val="0091252C"/>
    <w:rsid w:val="00912D3F"/>
    <w:rsid w:val="00913C04"/>
    <w:rsid w:val="009156F0"/>
    <w:rsid w:val="0091572E"/>
    <w:rsid w:val="00915BC2"/>
    <w:rsid w:val="00920D3A"/>
    <w:rsid w:val="00921F9A"/>
    <w:rsid w:val="00921FEF"/>
    <w:rsid w:val="00924F9D"/>
    <w:rsid w:val="00927F3C"/>
    <w:rsid w:val="0093171A"/>
    <w:rsid w:val="00931A23"/>
    <w:rsid w:val="0093402F"/>
    <w:rsid w:val="00934230"/>
    <w:rsid w:val="00934296"/>
    <w:rsid w:val="009344B4"/>
    <w:rsid w:val="0093587C"/>
    <w:rsid w:val="009364D1"/>
    <w:rsid w:val="009377B8"/>
    <w:rsid w:val="00937844"/>
    <w:rsid w:val="009416DA"/>
    <w:rsid w:val="00941AB0"/>
    <w:rsid w:val="00941AB5"/>
    <w:rsid w:val="00942334"/>
    <w:rsid w:val="0094558B"/>
    <w:rsid w:val="0094571E"/>
    <w:rsid w:val="009463B3"/>
    <w:rsid w:val="00947628"/>
    <w:rsid w:val="00950828"/>
    <w:rsid w:val="00950BA5"/>
    <w:rsid w:val="00952E4D"/>
    <w:rsid w:val="00955C6E"/>
    <w:rsid w:val="009565DC"/>
    <w:rsid w:val="00956E3E"/>
    <w:rsid w:val="009645DC"/>
    <w:rsid w:val="00964EFD"/>
    <w:rsid w:val="00965308"/>
    <w:rsid w:val="009657B6"/>
    <w:rsid w:val="00965953"/>
    <w:rsid w:val="00966FFB"/>
    <w:rsid w:val="0097165A"/>
    <w:rsid w:val="009765A3"/>
    <w:rsid w:val="0098024D"/>
    <w:rsid w:val="009807B7"/>
    <w:rsid w:val="00982584"/>
    <w:rsid w:val="00983ED0"/>
    <w:rsid w:val="009847FF"/>
    <w:rsid w:val="00986B0E"/>
    <w:rsid w:val="00991CC4"/>
    <w:rsid w:val="00991D26"/>
    <w:rsid w:val="00991F14"/>
    <w:rsid w:val="00992614"/>
    <w:rsid w:val="00993241"/>
    <w:rsid w:val="009940D6"/>
    <w:rsid w:val="00995DB8"/>
    <w:rsid w:val="00997294"/>
    <w:rsid w:val="00997361"/>
    <w:rsid w:val="00997661"/>
    <w:rsid w:val="00997849"/>
    <w:rsid w:val="00997E03"/>
    <w:rsid w:val="009A0DC8"/>
    <w:rsid w:val="009A100C"/>
    <w:rsid w:val="009A2FC5"/>
    <w:rsid w:val="009A33E9"/>
    <w:rsid w:val="009A53B4"/>
    <w:rsid w:val="009A7EE2"/>
    <w:rsid w:val="009B1B6E"/>
    <w:rsid w:val="009B37B5"/>
    <w:rsid w:val="009C16C0"/>
    <w:rsid w:val="009C27A5"/>
    <w:rsid w:val="009C37BD"/>
    <w:rsid w:val="009C4E59"/>
    <w:rsid w:val="009C4F32"/>
    <w:rsid w:val="009C6838"/>
    <w:rsid w:val="009D1532"/>
    <w:rsid w:val="009D166B"/>
    <w:rsid w:val="009D2F91"/>
    <w:rsid w:val="009D3335"/>
    <w:rsid w:val="009D5528"/>
    <w:rsid w:val="009D57B0"/>
    <w:rsid w:val="009D6A06"/>
    <w:rsid w:val="009E0A65"/>
    <w:rsid w:val="009E2C78"/>
    <w:rsid w:val="009E36F7"/>
    <w:rsid w:val="009E4757"/>
    <w:rsid w:val="009E48B8"/>
    <w:rsid w:val="009E667F"/>
    <w:rsid w:val="009F1B8B"/>
    <w:rsid w:val="009F1D06"/>
    <w:rsid w:val="009F2A7B"/>
    <w:rsid w:val="009F6E87"/>
    <w:rsid w:val="009F71FB"/>
    <w:rsid w:val="00A003E6"/>
    <w:rsid w:val="00A00D46"/>
    <w:rsid w:val="00A01C5F"/>
    <w:rsid w:val="00A03879"/>
    <w:rsid w:val="00A05D4A"/>
    <w:rsid w:val="00A06AAB"/>
    <w:rsid w:val="00A07D64"/>
    <w:rsid w:val="00A14542"/>
    <w:rsid w:val="00A1520E"/>
    <w:rsid w:val="00A16D8F"/>
    <w:rsid w:val="00A17B38"/>
    <w:rsid w:val="00A224C4"/>
    <w:rsid w:val="00A242A2"/>
    <w:rsid w:val="00A275F8"/>
    <w:rsid w:val="00A309AD"/>
    <w:rsid w:val="00A3128C"/>
    <w:rsid w:val="00A31F8F"/>
    <w:rsid w:val="00A321A2"/>
    <w:rsid w:val="00A321E5"/>
    <w:rsid w:val="00A349A5"/>
    <w:rsid w:val="00A35B73"/>
    <w:rsid w:val="00A36A0B"/>
    <w:rsid w:val="00A413B7"/>
    <w:rsid w:val="00A417CA"/>
    <w:rsid w:val="00A43452"/>
    <w:rsid w:val="00A43DE7"/>
    <w:rsid w:val="00A44EE9"/>
    <w:rsid w:val="00A473D4"/>
    <w:rsid w:val="00A507FA"/>
    <w:rsid w:val="00A52B82"/>
    <w:rsid w:val="00A53EFD"/>
    <w:rsid w:val="00A5409F"/>
    <w:rsid w:val="00A54953"/>
    <w:rsid w:val="00A549AA"/>
    <w:rsid w:val="00A549F5"/>
    <w:rsid w:val="00A5533E"/>
    <w:rsid w:val="00A5579E"/>
    <w:rsid w:val="00A56BE5"/>
    <w:rsid w:val="00A56E1F"/>
    <w:rsid w:val="00A57CE7"/>
    <w:rsid w:val="00A61326"/>
    <w:rsid w:val="00A63E5C"/>
    <w:rsid w:val="00A6418B"/>
    <w:rsid w:val="00A6457F"/>
    <w:rsid w:val="00A661F7"/>
    <w:rsid w:val="00A66B09"/>
    <w:rsid w:val="00A675AD"/>
    <w:rsid w:val="00A700E9"/>
    <w:rsid w:val="00A70DF4"/>
    <w:rsid w:val="00A735FD"/>
    <w:rsid w:val="00A74D7C"/>
    <w:rsid w:val="00A76146"/>
    <w:rsid w:val="00A766E1"/>
    <w:rsid w:val="00A836D4"/>
    <w:rsid w:val="00A83A01"/>
    <w:rsid w:val="00A86A10"/>
    <w:rsid w:val="00A870C6"/>
    <w:rsid w:val="00A90528"/>
    <w:rsid w:val="00A936DB"/>
    <w:rsid w:val="00A95D7F"/>
    <w:rsid w:val="00A96F90"/>
    <w:rsid w:val="00AA0535"/>
    <w:rsid w:val="00AA2698"/>
    <w:rsid w:val="00AA3D83"/>
    <w:rsid w:val="00AA4E1C"/>
    <w:rsid w:val="00AA6B89"/>
    <w:rsid w:val="00AA6D19"/>
    <w:rsid w:val="00AA785A"/>
    <w:rsid w:val="00AB0773"/>
    <w:rsid w:val="00AB1453"/>
    <w:rsid w:val="00AB2DA7"/>
    <w:rsid w:val="00AB4ABF"/>
    <w:rsid w:val="00AC0674"/>
    <w:rsid w:val="00AC2D81"/>
    <w:rsid w:val="00AC48CC"/>
    <w:rsid w:val="00AC63E5"/>
    <w:rsid w:val="00AC719B"/>
    <w:rsid w:val="00AD2B2C"/>
    <w:rsid w:val="00AD2E4D"/>
    <w:rsid w:val="00AD495E"/>
    <w:rsid w:val="00AE051A"/>
    <w:rsid w:val="00AE170B"/>
    <w:rsid w:val="00AE1CAC"/>
    <w:rsid w:val="00AE3A22"/>
    <w:rsid w:val="00AE56FD"/>
    <w:rsid w:val="00AF11B3"/>
    <w:rsid w:val="00AF1E3A"/>
    <w:rsid w:val="00AF31AE"/>
    <w:rsid w:val="00AF4478"/>
    <w:rsid w:val="00AF5AB9"/>
    <w:rsid w:val="00AF6021"/>
    <w:rsid w:val="00AF64D4"/>
    <w:rsid w:val="00AF68F0"/>
    <w:rsid w:val="00AF6D2C"/>
    <w:rsid w:val="00AF6FAD"/>
    <w:rsid w:val="00B022F2"/>
    <w:rsid w:val="00B0456C"/>
    <w:rsid w:val="00B10340"/>
    <w:rsid w:val="00B10B1C"/>
    <w:rsid w:val="00B126DD"/>
    <w:rsid w:val="00B16B4D"/>
    <w:rsid w:val="00B16F55"/>
    <w:rsid w:val="00B17124"/>
    <w:rsid w:val="00B2482E"/>
    <w:rsid w:val="00B253C9"/>
    <w:rsid w:val="00B27966"/>
    <w:rsid w:val="00B30046"/>
    <w:rsid w:val="00B30618"/>
    <w:rsid w:val="00B30B09"/>
    <w:rsid w:val="00B3190A"/>
    <w:rsid w:val="00B31F2A"/>
    <w:rsid w:val="00B33DE7"/>
    <w:rsid w:val="00B42618"/>
    <w:rsid w:val="00B43220"/>
    <w:rsid w:val="00B43D49"/>
    <w:rsid w:val="00B450A4"/>
    <w:rsid w:val="00B4579F"/>
    <w:rsid w:val="00B46776"/>
    <w:rsid w:val="00B50FCE"/>
    <w:rsid w:val="00B51B5D"/>
    <w:rsid w:val="00B53C60"/>
    <w:rsid w:val="00B53CE1"/>
    <w:rsid w:val="00B53F55"/>
    <w:rsid w:val="00B54B5C"/>
    <w:rsid w:val="00B550EF"/>
    <w:rsid w:val="00B5765C"/>
    <w:rsid w:val="00B633B9"/>
    <w:rsid w:val="00B63B39"/>
    <w:rsid w:val="00B669D4"/>
    <w:rsid w:val="00B71926"/>
    <w:rsid w:val="00B72973"/>
    <w:rsid w:val="00B74A36"/>
    <w:rsid w:val="00B74D82"/>
    <w:rsid w:val="00B7573A"/>
    <w:rsid w:val="00B83112"/>
    <w:rsid w:val="00B836B8"/>
    <w:rsid w:val="00B83D02"/>
    <w:rsid w:val="00B84A10"/>
    <w:rsid w:val="00B8764B"/>
    <w:rsid w:val="00B913E3"/>
    <w:rsid w:val="00B93F91"/>
    <w:rsid w:val="00B96FB3"/>
    <w:rsid w:val="00BA1145"/>
    <w:rsid w:val="00BA1CBE"/>
    <w:rsid w:val="00BA316D"/>
    <w:rsid w:val="00BA49A9"/>
    <w:rsid w:val="00BA4A8B"/>
    <w:rsid w:val="00BA570A"/>
    <w:rsid w:val="00BA665D"/>
    <w:rsid w:val="00BA6FEE"/>
    <w:rsid w:val="00BA7A51"/>
    <w:rsid w:val="00BA7E6C"/>
    <w:rsid w:val="00BB030E"/>
    <w:rsid w:val="00BB12BB"/>
    <w:rsid w:val="00BB20CF"/>
    <w:rsid w:val="00BB2414"/>
    <w:rsid w:val="00BB3BF6"/>
    <w:rsid w:val="00BB3F38"/>
    <w:rsid w:val="00BB60BC"/>
    <w:rsid w:val="00BB6D5D"/>
    <w:rsid w:val="00BC0508"/>
    <w:rsid w:val="00BC2DE7"/>
    <w:rsid w:val="00BC4910"/>
    <w:rsid w:val="00BD4681"/>
    <w:rsid w:val="00BD5033"/>
    <w:rsid w:val="00BD549B"/>
    <w:rsid w:val="00BD65B5"/>
    <w:rsid w:val="00BE11E6"/>
    <w:rsid w:val="00BE3978"/>
    <w:rsid w:val="00BE3996"/>
    <w:rsid w:val="00BE5CDB"/>
    <w:rsid w:val="00BE694D"/>
    <w:rsid w:val="00BF0414"/>
    <w:rsid w:val="00BF0FDD"/>
    <w:rsid w:val="00BF2D35"/>
    <w:rsid w:val="00BF2F95"/>
    <w:rsid w:val="00BF3624"/>
    <w:rsid w:val="00BF397B"/>
    <w:rsid w:val="00BF4BDD"/>
    <w:rsid w:val="00C002D3"/>
    <w:rsid w:val="00C00394"/>
    <w:rsid w:val="00C00E2C"/>
    <w:rsid w:val="00C01220"/>
    <w:rsid w:val="00C01B96"/>
    <w:rsid w:val="00C02879"/>
    <w:rsid w:val="00C042A5"/>
    <w:rsid w:val="00C0686F"/>
    <w:rsid w:val="00C06CED"/>
    <w:rsid w:val="00C10978"/>
    <w:rsid w:val="00C130E1"/>
    <w:rsid w:val="00C14104"/>
    <w:rsid w:val="00C14B10"/>
    <w:rsid w:val="00C1611C"/>
    <w:rsid w:val="00C166C8"/>
    <w:rsid w:val="00C17C21"/>
    <w:rsid w:val="00C21D4F"/>
    <w:rsid w:val="00C22613"/>
    <w:rsid w:val="00C235EC"/>
    <w:rsid w:val="00C255CF"/>
    <w:rsid w:val="00C261D7"/>
    <w:rsid w:val="00C272E6"/>
    <w:rsid w:val="00C27C9E"/>
    <w:rsid w:val="00C311D1"/>
    <w:rsid w:val="00C315A2"/>
    <w:rsid w:val="00C334AB"/>
    <w:rsid w:val="00C34131"/>
    <w:rsid w:val="00C343DB"/>
    <w:rsid w:val="00C34ABE"/>
    <w:rsid w:val="00C37097"/>
    <w:rsid w:val="00C40192"/>
    <w:rsid w:val="00C404C6"/>
    <w:rsid w:val="00C5116C"/>
    <w:rsid w:val="00C53C80"/>
    <w:rsid w:val="00C53CC4"/>
    <w:rsid w:val="00C55AE2"/>
    <w:rsid w:val="00C607EF"/>
    <w:rsid w:val="00C60D24"/>
    <w:rsid w:val="00C61E3D"/>
    <w:rsid w:val="00C61E3E"/>
    <w:rsid w:val="00C62DB7"/>
    <w:rsid w:val="00C634CA"/>
    <w:rsid w:val="00C6464D"/>
    <w:rsid w:val="00C64722"/>
    <w:rsid w:val="00C67739"/>
    <w:rsid w:val="00C711A2"/>
    <w:rsid w:val="00C71EAD"/>
    <w:rsid w:val="00C72A68"/>
    <w:rsid w:val="00C72F12"/>
    <w:rsid w:val="00C7596F"/>
    <w:rsid w:val="00C766DD"/>
    <w:rsid w:val="00C7741E"/>
    <w:rsid w:val="00C8132B"/>
    <w:rsid w:val="00C828F6"/>
    <w:rsid w:val="00C83488"/>
    <w:rsid w:val="00C84128"/>
    <w:rsid w:val="00C84147"/>
    <w:rsid w:val="00C85530"/>
    <w:rsid w:val="00C865BC"/>
    <w:rsid w:val="00C875D9"/>
    <w:rsid w:val="00C87D41"/>
    <w:rsid w:val="00C904D5"/>
    <w:rsid w:val="00C90C50"/>
    <w:rsid w:val="00C92402"/>
    <w:rsid w:val="00C92856"/>
    <w:rsid w:val="00C928EB"/>
    <w:rsid w:val="00C94566"/>
    <w:rsid w:val="00C94CBA"/>
    <w:rsid w:val="00C96EA3"/>
    <w:rsid w:val="00CA1A21"/>
    <w:rsid w:val="00CA4553"/>
    <w:rsid w:val="00CA5439"/>
    <w:rsid w:val="00CB207E"/>
    <w:rsid w:val="00CB26D0"/>
    <w:rsid w:val="00CB3AB0"/>
    <w:rsid w:val="00CB3B1E"/>
    <w:rsid w:val="00CB409D"/>
    <w:rsid w:val="00CB65F0"/>
    <w:rsid w:val="00CB792A"/>
    <w:rsid w:val="00CC033B"/>
    <w:rsid w:val="00CC16BE"/>
    <w:rsid w:val="00CC347C"/>
    <w:rsid w:val="00CC555D"/>
    <w:rsid w:val="00CC569B"/>
    <w:rsid w:val="00CC7408"/>
    <w:rsid w:val="00CD0D83"/>
    <w:rsid w:val="00CD4CA6"/>
    <w:rsid w:val="00CD797A"/>
    <w:rsid w:val="00CE0060"/>
    <w:rsid w:val="00CE0AD1"/>
    <w:rsid w:val="00CE0CC4"/>
    <w:rsid w:val="00CE110B"/>
    <w:rsid w:val="00CE445B"/>
    <w:rsid w:val="00CE524F"/>
    <w:rsid w:val="00CE57E6"/>
    <w:rsid w:val="00CE798E"/>
    <w:rsid w:val="00CE7F3E"/>
    <w:rsid w:val="00CF1AAF"/>
    <w:rsid w:val="00CF1F52"/>
    <w:rsid w:val="00CF2146"/>
    <w:rsid w:val="00CF3B65"/>
    <w:rsid w:val="00CF3CC2"/>
    <w:rsid w:val="00CF3E5A"/>
    <w:rsid w:val="00CF3F3D"/>
    <w:rsid w:val="00CF4CC4"/>
    <w:rsid w:val="00CF6E41"/>
    <w:rsid w:val="00D01E06"/>
    <w:rsid w:val="00D03E52"/>
    <w:rsid w:val="00D06371"/>
    <w:rsid w:val="00D07BF4"/>
    <w:rsid w:val="00D1106F"/>
    <w:rsid w:val="00D110CB"/>
    <w:rsid w:val="00D11913"/>
    <w:rsid w:val="00D119E1"/>
    <w:rsid w:val="00D12420"/>
    <w:rsid w:val="00D14D2E"/>
    <w:rsid w:val="00D166D8"/>
    <w:rsid w:val="00D16817"/>
    <w:rsid w:val="00D17238"/>
    <w:rsid w:val="00D20758"/>
    <w:rsid w:val="00D21966"/>
    <w:rsid w:val="00D22867"/>
    <w:rsid w:val="00D233F2"/>
    <w:rsid w:val="00D23424"/>
    <w:rsid w:val="00D23E42"/>
    <w:rsid w:val="00D27D67"/>
    <w:rsid w:val="00D3417D"/>
    <w:rsid w:val="00D3702C"/>
    <w:rsid w:val="00D414BB"/>
    <w:rsid w:val="00D41B74"/>
    <w:rsid w:val="00D43004"/>
    <w:rsid w:val="00D43B57"/>
    <w:rsid w:val="00D4563E"/>
    <w:rsid w:val="00D46344"/>
    <w:rsid w:val="00D53851"/>
    <w:rsid w:val="00D54FFB"/>
    <w:rsid w:val="00D56E34"/>
    <w:rsid w:val="00D57AE9"/>
    <w:rsid w:val="00D62F76"/>
    <w:rsid w:val="00D656B7"/>
    <w:rsid w:val="00D66E01"/>
    <w:rsid w:val="00D6741A"/>
    <w:rsid w:val="00D67493"/>
    <w:rsid w:val="00D70A14"/>
    <w:rsid w:val="00D723CD"/>
    <w:rsid w:val="00D738AC"/>
    <w:rsid w:val="00D73C1A"/>
    <w:rsid w:val="00D73FA1"/>
    <w:rsid w:val="00D74B3D"/>
    <w:rsid w:val="00D772D3"/>
    <w:rsid w:val="00D80BB5"/>
    <w:rsid w:val="00D817DC"/>
    <w:rsid w:val="00D84CF6"/>
    <w:rsid w:val="00D851CC"/>
    <w:rsid w:val="00D862AE"/>
    <w:rsid w:val="00D877DA"/>
    <w:rsid w:val="00D90063"/>
    <w:rsid w:val="00D9197F"/>
    <w:rsid w:val="00D920BF"/>
    <w:rsid w:val="00D931AB"/>
    <w:rsid w:val="00D95E96"/>
    <w:rsid w:val="00D96617"/>
    <w:rsid w:val="00D970B4"/>
    <w:rsid w:val="00D97764"/>
    <w:rsid w:val="00DA02E0"/>
    <w:rsid w:val="00DA233C"/>
    <w:rsid w:val="00DA27FB"/>
    <w:rsid w:val="00DA4789"/>
    <w:rsid w:val="00DA6950"/>
    <w:rsid w:val="00DB003A"/>
    <w:rsid w:val="00DB09F8"/>
    <w:rsid w:val="00DB0A40"/>
    <w:rsid w:val="00DB0A4F"/>
    <w:rsid w:val="00DB1B07"/>
    <w:rsid w:val="00DB46D5"/>
    <w:rsid w:val="00DB5E24"/>
    <w:rsid w:val="00DB6760"/>
    <w:rsid w:val="00DB7997"/>
    <w:rsid w:val="00DC415D"/>
    <w:rsid w:val="00DC4B2D"/>
    <w:rsid w:val="00DC5ABB"/>
    <w:rsid w:val="00DC649A"/>
    <w:rsid w:val="00DC69C9"/>
    <w:rsid w:val="00DD3333"/>
    <w:rsid w:val="00DD4E10"/>
    <w:rsid w:val="00DE020B"/>
    <w:rsid w:val="00DE33A3"/>
    <w:rsid w:val="00DE5D3A"/>
    <w:rsid w:val="00DE70A4"/>
    <w:rsid w:val="00DE7165"/>
    <w:rsid w:val="00DF0953"/>
    <w:rsid w:val="00DF0D4B"/>
    <w:rsid w:val="00DF3FEF"/>
    <w:rsid w:val="00DF4626"/>
    <w:rsid w:val="00DF46AF"/>
    <w:rsid w:val="00DF537D"/>
    <w:rsid w:val="00DF5C56"/>
    <w:rsid w:val="00DF7E9D"/>
    <w:rsid w:val="00E00D5F"/>
    <w:rsid w:val="00E01830"/>
    <w:rsid w:val="00E01E29"/>
    <w:rsid w:val="00E0238A"/>
    <w:rsid w:val="00E04682"/>
    <w:rsid w:val="00E063FE"/>
    <w:rsid w:val="00E1233C"/>
    <w:rsid w:val="00E123A4"/>
    <w:rsid w:val="00E13D0F"/>
    <w:rsid w:val="00E149D2"/>
    <w:rsid w:val="00E1586F"/>
    <w:rsid w:val="00E170F6"/>
    <w:rsid w:val="00E17EC2"/>
    <w:rsid w:val="00E2091C"/>
    <w:rsid w:val="00E20A5D"/>
    <w:rsid w:val="00E2732B"/>
    <w:rsid w:val="00E273D8"/>
    <w:rsid w:val="00E274CA"/>
    <w:rsid w:val="00E30593"/>
    <w:rsid w:val="00E32007"/>
    <w:rsid w:val="00E33023"/>
    <w:rsid w:val="00E33BF5"/>
    <w:rsid w:val="00E3512A"/>
    <w:rsid w:val="00E37B39"/>
    <w:rsid w:val="00E428A4"/>
    <w:rsid w:val="00E44899"/>
    <w:rsid w:val="00E449FD"/>
    <w:rsid w:val="00E4508B"/>
    <w:rsid w:val="00E45EE5"/>
    <w:rsid w:val="00E46C1D"/>
    <w:rsid w:val="00E522C1"/>
    <w:rsid w:val="00E54E9E"/>
    <w:rsid w:val="00E558A1"/>
    <w:rsid w:val="00E55973"/>
    <w:rsid w:val="00E55A5D"/>
    <w:rsid w:val="00E56AF4"/>
    <w:rsid w:val="00E56E4C"/>
    <w:rsid w:val="00E6223B"/>
    <w:rsid w:val="00E63234"/>
    <w:rsid w:val="00E71BED"/>
    <w:rsid w:val="00E7693D"/>
    <w:rsid w:val="00E7782E"/>
    <w:rsid w:val="00E80449"/>
    <w:rsid w:val="00E80809"/>
    <w:rsid w:val="00E822D4"/>
    <w:rsid w:val="00E8317B"/>
    <w:rsid w:val="00E851C6"/>
    <w:rsid w:val="00E86180"/>
    <w:rsid w:val="00E87369"/>
    <w:rsid w:val="00E92710"/>
    <w:rsid w:val="00E928B7"/>
    <w:rsid w:val="00E92D96"/>
    <w:rsid w:val="00E935C6"/>
    <w:rsid w:val="00E947D6"/>
    <w:rsid w:val="00E94D26"/>
    <w:rsid w:val="00E95E45"/>
    <w:rsid w:val="00E96367"/>
    <w:rsid w:val="00E97640"/>
    <w:rsid w:val="00EA0D94"/>
    <w:rsid w:val="00EA13D8"/>
    <w:rsid w:val="00EA49AA"/>
    <w:rsid w:val="00EB3EF2"/>
    <w:rsid w:val="00EB4A1C"/>
    <w:rsid w:val="00EB53CB"/>
    <w:rsid w:val="00EB56BF"/>
    <w:rsid w:val="00EB7A26"/>
    <w:rsid w:val="00EC00ED"/>
    <w:rsid w:val="00EC07CB"/>
    <w:rsid w:val="00EC3B74"/>
    <w:rsid w:val="00EC3FA1"/>
    <w:rsid w:val="00EC4157"/>
    <w:rsid w:val="00EC6314"/>
    <w:rsid w:val="00EC6B73"/>
    <w:rsid w:val="00EC7367"/>
    <w:rsid w:val="00EC7911"/>
    <w:rsid w:val="00ED0F3B"/>
    <w:rsid w:val="00ED3237"/>
    <w:rsid w:val="00ED3C7C"/>
    <w:rsid w:val="00ED66D7"/>
    <w:rsid w:val="00ED6F46"/>
    <w:rsid w:val="00ED78BE"/>
    <w:rsid w:val="00EE0581"/>
    <w:rsid w:val="00EE28B2"/>
    <w:rsid w:val="00EE4BDE"/>
    <w:rsid w:val="00EE5CB2"/>
    <w:rsid w:val="00EE5D1B"/>
    <w:rsid w:val="00EE5F76"/>
    <w:rsid w:val="00EE7C74"/>
    <w:rsid w:val="00EF1E4A"/>
    <w:rsid w:val="00EF4E5B"/>
    <w:rsid w:val="00EF5116"/>
    <w:rsid w:val="00EF57B0"/>
    <w:rsid w:val="00EF5F0B"/>
    <w:rsid w:val="00EF7A2B"/>
    <w:rsid w:val="00F007B9"/>
    <w:rsid w:val="00F01951"/>
    <w:rsid w:val="00F03106"/>
    <w:rsid w:val="00F03368"/>
    <w:rsid w:val="00F06475"/>
    <w:rsid w:val="00F07FDC"/>
    <w:rsid w:val="00F10539"/>
    <w:rsid w:val="00F12577"/>
    <w:rsid w:val="00F15F05"/>
    <w:rsid w:val="00F166A4"/>
    <w:rsid w:val="00F17E90"/>
    <w:rsid w:val="00F2104B"/>
    <w:rsid w:val="00F21E1A"/>
    <w:rsid w:val="00F2206C"/>
    <w:rsid w:val="00F22527"/>
    <w:rsid w:val="00F26F48"/>
    <w:rsid w:val="00F27AD1"/>
    <w:rsid w:val="00F3168F"/>
    <w:rsid w:val="00F3217A"/>
    <w:rsid w:val="00F3299C"/>
    <w:rsid w:val="00F34829"/>
    <w:rsid w:val="00F34C4B"/>
    <w:rsid w:val="00F37FFD"/>
    <w:rsid w:val="00F40710"/>
    <w:rsid w:val="00F40975"/>
    <w:rsid w:val="00F40C9E"/>
    <w:rsid w:val="00F41F13"/>
    <w:rsid w:val="00F43D1E"/>
    <w:rsid w:val="00F50C35"/>
    <w:rsid w:val="00F5175F"/>
    <w:rsid w:val="00F53361"/>
    <w:rsid w:val="00F552B9"/>
    <w:rsid w:val="00F56210"/>
    <w:rsid w:val="00F57C49"/>
    <w:rsid w:val="00F6411F"/>
    <w:rsid w:val="00F64F6E"/>
    <w:rsid w:val="00F65571"/>
    <w:rsid w:val="00F7074E"/>
    <w:rsid w:val="00F750F3"/>
    <w:rsid w:val="00F757B8"/>
    <w:rsid w:val="00F75D2C"/>
    <w:rsid w:val="00F76774"/>
    <w:rsid w:val="00F77133"/>
    <w:rsid w:val="00F779F8"/>
    <w:rsid w:val="00F813A0"/>
    <w:rsid w:val="00F83A7B"/>
    <w:rsid w:val="00F8662A"/>
    <w:rsid w:val="00F936E8"/>
    <w:rsid w:val="00F93A0B"/>
    <w:rsid w:val="00F967A4"/>
    <w:rsid w:val="00F96CF8"/>
    <w:rsid w:val="00FA43EF"/>
    <w:rsid w:val="00FA5622"/>
    <w:rsid w:val="00FA5F03"/>
    <w:rsid w:val="00FA6114"/>
    <w:rsid w:val="00FA691E"/>
    <w:rsid w:val="00FA7D94"/>
    <w:rsid w:val="00FB2C9B"/>
    <w:rsid w:val="00FB2DFE"/>
    <w:rsid w:val="00FB4995"/>
    <w:rsid w:val="00FB60B6"/>
    <w:rsid w:val="00FB6735"/>
    <w:rsid w:val="00FB675A"/>
    <w:rsid w:val="00FC2421"/>
    <w:rsid w:val="00FC2A84"/>
    <w:rsid w:val="00FC46BB"/>
    <w:rsid w:val="00FC5FE6"/>
    <w:rsid w:val="00FC6C17"/>
    <w:rsid w:val="00FC7AF6"/>
    <w:rsid w:val="00FD1459"/>
    <w:rsid w:val="00FD2D8E"/>
    <w:rsid w:val="00FD54C7"/>
    <w:rsid w:val="00FE0D83"/>
    <w:rsid w:val="00FE2444"/>
    <w:rsid w:val="00FE420A"/>
    <w:rsid w:val="00FE59C6"/>
    <w:rsid w:val="00FE7AF9"/>
    <w:rsid w:val="00FE7D7F"/>
    <w:rsid w:val="00FF0131"/>
    <w:rsid w:val="00FF04B8"/>
    <w:rsid w:val="00FF1799"/>
    <w:rsid w:val="00FF1953"/>
    <w:rsid w:val="00FF1E93"/>
    <w:rsid w:val="00FF2B17"/>
    <w:rsid w:val="00FF3D1A"/>
    <w:rsid w:val="00FF406D"/>
    <w:rsid w:val="00FF4B3B"/>
    <w:rsid w:val="00FF5A95"/>
    <w:rsid w:val="00FF6C4E"/>
    <w:rsid w:val="00FF6F21"/>
    <w:rsid w:val="0109531D"/>
    <w:rsid w:val="011A5CB1"/>
    <w:rsid w:val="01286562"/>
    <w:rsid w:val="012E2061"/>
    <w:rsid w:val="01483CB3"/>
    <w:rsid w:val="01500197"/>
    <w:rsid w:val="015F2A65"/>
    <w:rsid w:val="017515E5"/>
    <w:rsid w:val="019224BE"/>
    <w:rsid w:val="01A75DDB"/>
    <w:rsid w:val="01B20120"/>
    <w:rsid w:val="01C60397"/>
    <w:rsid w:val="01D7555D"/>
    <w:rsid w:val="01D8453D"/>
    <w:rsid w:val="01F4083C"/>
    <w:rsid w:val="020E6FDC"/>
    <w:rsid w:val="02167140"/>
    <w:rsid w:val="022611A0"/>
    <w:rsid w:val="022B7B9F"/>
    <w:rsid w:val="023747AF"/>
    <w:rsid w:val="024F4E24"/>
    <w:rsid w:val="02545051"/>
    <w:rsid w:val="027174AB"/>
    <w:rsid w:val="02717BDA"/>
    <w:rsid w:val="027F456B"/>
    <w:rsid w:val="027F62D8"/>
    <w:rsid w:val="02830618"/>
    <w:rsid w:val="029B6DD4"/>
    <w:rsid w:val="02A3019D"/>
    <w:rsid w:val="02AC2B00"/>
    <w:rsid w:val="02C44BAF"/>
    <w:rsid w:val="02CC3464"/>
    <w:rsid w:val="02D02D37"/>
    <w:rsid w:val="02D41D88"/>
    <w:rsid w:val="02D748C0"/>
    <w:rsid w:val="02D9637D"/>
    <w:rsid w:val="02E430B2"/>
    <w:rsid w:val="02E70303"/>
    <w:rsid w:val="02EA0343"/>
    <w:rsid w:val="02EF66AF"/>
    <w:rsid w:val="02FD4C21"/>
    <w:rsid w:val="03161FDC"/>
    <w:rsid w:val="032F46D3"/>
    <w:rsid w:val="033440AD"/>
    <w:rsid w:val="03387218"/>
    <w:rsid w:val="035557F5"/>
    <w:rsid w:val="03681C3C"/>
    <w:rsid w:val="0371718A"/>
    <w:rsid w:val="03897016"/>
    <w:rsid w:val="03B52879"/>
    <w:rsid w:val="03B64756"/>
    <w:rsid w:val="03BB7C60"/>
    <w:rsid w:val="03C63FC1"/>
    <w:rsid w:val="03D3297F"/>
    <w:rsid w:val="03F53C49"/>
    <w:rsid w:val="04046013"/>
    <w:rsid w:val="040E4B54"/>
    <w:rsid w:val="04183B76"/>
    <w:rsid w:val="04232447"/>
    <w:rsid w:val="042671D5"/>
    <w:rsid w:val="04402457"/>
    <w:rsid w:val="04525DA3"/>
    <w:rsid w:val="045648D1"/>
    <w:rsid w:val="04623D75"/>
    <w:rsid w:val="04644B0E"/>
    <w:rsid w:val="046B26E2"/>
    <w:rsid w:val="04A97FA8"/>
    <w:rsid w:val="04BA1DF4"/>
    <w:rsid w:val="04C504D6"/>
    <w:rsid w:val="04D5724C"/>
    <w:rsid w:val="04D85410"/>
    <w:rsid w:val="04F12EAB"/>
    <w:rsid w:val="05187F1D"/>
    <w:rsid w:val="05277382"/>
    <w:rsid w:val="057D0C62"/>
    <w:rsid w:val="05B33A64"/>
    <w:rsid w:val="05BE451B"/>
    <w:rsid w:val="05C018A2"/>
    <w:rsid w:val="05D51274"/>
    <w:rsid w:val="05F43E05"/>
    <w:rsid w:val="061F2C31"/>
    <w:rsid w:val="064A13E1"/>
    <w:rsid w:val="06543ADB"/>
    <w:rsid w:val="06623285"/>
    <w:rsid w:val="066B348F"/>
    <w:rsid w:val="06805CA3"/>
    <w:rsid w:val="069A6971"/>
    <w:rsid w:val="06CD2EF5"/>
    <w:rsid w:val="06D13C36"/>
    <w:rsid w:val="06E253E7"/>
    <w:rsid w:val="06EB779A"/>
    <w:rsid w:val="06EF446D"/>
    <w:rsid w:val="0708351A"/>
    <w:rsid w:val="0710210C"/>
    <w:rsid w:val="07330D3B"/>
    <w:rsid w:val="073935E8"/>
    <w:rsid w:val="076B50BC"/>
    <w:rsid w:val="07A5003B"/>
    <w:rsid w:val="07A6619A"/>
    <w:rsid w:val="07B45814"/>
    <w:rsid w:val="07BD035D"/>
    <w:rsid w:val="07C84277"/>
    <w:rsid w:val="07DE6398"/>
    <w:rsid w:val="07FF60F9"/>
    <w:rsid w:val="080068F6"/>
    <w:rsid w:val="080526EA"/>
    <w:rsid w:val="080944F9"/>
    <w:rsid w:val="080C13C2"/>
    <w:rsid w:val="08344CA2"/>
    <w:rsid w:val="0848043D"/>
    <w:rsid w:val="08583ABA"/>
    <w:rsid w:val="087D19AF"/>
    <w:rsid w:val="088C0B52"/>
    <w:rsid w:val="08AA4265"/>
    <w:rsid w:val="08AF0BCB"/>
    <w:rsid w:val="08C77114"/>
    <w:rsid w:val="08E254E5"/>
    <w:rsid w:val="08E66479"/>
    <w:rsid w:val="08F42566"/>
    <w:rsid w:val="0923193E"/>
    <w:rsid w:val="092C7268"/>
    <w:rsid w:val="0943745A"/>
    <w:rsid w:val="095848E4"/>
    <w:rsid w:val="097430E9"/>
    <w:rsid w:val="098D4D22"/>
    <w:rsid w:val="09926C3F"/>
    <w:rsid w:val="09B43CFC"/>
    <w:rsid w:val="09CA6C5D"/>
    <w:rsid w:val="09D704E2"/>
    <w:rsid w:val="09DD6F7F"/>
    <w:rsid w:val="09E57882"/>
    <w:rsid w:val="09E87633"/>
    <w:rsid w:val="09EB6BA5"/>
    <w:rsid w:val="0A1569B2"/>
    <w:rsid w:val="0A1C72DC"/>
    <w:rsid w:val="0A1E6855"/>
    <w:rsid w:val="0A272508"/>
    <w:rsid w:val="0A38317A"/>
    <w:rsid w:val="0A55458E"/>
    <w:rsid w:val="0A6213E6"/>
    <w:rsid w:val="0A6258BD"/>
    <w:rsid w:val="0A663DA6"/>
    <w:rsid w:val="0A6A44EC"/>
    <w:rsid w:val="0A7C7130"/>
    <w:rsid w:val="0A890A94"/>
    <w:rsid w:val="0A8D5BDD"/>
    <w:rsid w:val="0A981B15"/>
    <w:rsid w:val="0A9A1F1A"/>
    <w:rsid w:val="0AA53386"/>
    <w:rsid w:val="0AA74589"/>
    <w:rsid w:val="0ACA4385"/>
    <w:rsid w:val="0ACF5E3A"/>
    <w:rsid w:val="0ADA79B1"/>
    <w:rsid w:val="0AFA0790"/>
    <w:rsid w:val="0B3F4299"/>
    <w:rsid w:val="0B40499B"/>
    <w:rsid w:val="0B535019"/>
    <w:rsid w:val="0B6C515F"/>
    <w:rsid w:val="0B75220E"/>
    <w:rsid w:val="0B8B478F"/>
    <w:rsid w:val="0B9A0F05"/>
    <w:rsid w:val="0BB9314C"/>
    <w:rsid w:val="0BBF5056"/>
    <w:rsid w:val="0BDD6189"/>
    <w:rsid w:val="0C0E70CD"/>
    <w:rsid w:val="0C15400B"/>
    <w:rsid w:val="0C230DF6"/>
    <w:rsid w:val="0C42228F"/>
    <w:rsid w:val="0C6042C8"/>
    <w:rsid w:val="0C6223E4"/>
    <w:rsid w:val="0C644240"/>
    <w:rsid w:val="0C6A6FF5"/>
    <w:rsid w:val="0C722409"/>
    <w:rsid w:val="0C725B20"/>
    <w:rsid w:val="0C725F6D"/>
    <w:rsid w:val="0C842879"/>
    <w:rsid w:val="0C847C19"/>
    <w:rsid w:val="0C9772B7"/>
    <w:rsid w:val="0CAC303E"/>
    <w:rsid w:val="0CC41BE7"/>
    <w:rsid w:val="0CF3634C"/>
    <w:rsid w:val="0D361B9B"/>
    <w:rsid w:val="0D680505"/>
    <w:rsid w:val="0D782FEA"/>
    <w:rsid w:val="0D9C0F3E"/>
    <w:rsid w:val="0DB55FCE"/>
    <w:rsid w:val="0DC43F13"/>
    <w:rsid w:val="0DD124B7"/>
    <w:rsid w:val="0DD17395"/>
    <w:rsid w:val="0DFE62EE"/>
    <w:rsid w:val="0E0661FB"/>
    <w:rsid w:val="0E250FC0"/>
    <w:rsid w:val="0E270543"/>
    <w:rsid w:val="0E2C734E"/>
    <w:rsid w:val="0E384152"/>
    <w:rsid w:val="0E471E86"/>
    <w:rsid w:val="0E4A457D"/>
    <w:rsid w:val="0E756228"/>
    <w:rsid w:val="0E864717"/>
    <w:rsid w:val="0E8675E8"/>
    <w:rsid w:val="0EB74D33"/>
    <w:rsid w:val="0EC81817"/>
    <w:rsid w:val="0EC9794B"/>
    <w:rsid w:val="0ECD2215"/>
    <w:rsid w:val="0ED70B2E"/>
    <w:rsid w:val="0EF428A4"/>
    <w:rsid w:val="0EF67916"/>
    <w:rsid w:val="0F0366FE"/>
    <w:rsid w:val="0F086B32"/>
    <w:rsid w:val="0F14458B"/>
    <w:rsid w:val="0F371405"/>
    <w:rsid w:val="0F4E089F"/>
    <w:rsid w:val="0F4F4749"/>
    <w:rsid w:val="0F5E79B6"/>
    <w:rsid w:val="0F6A47D7"/>
    <w:rsid w:val="0F8B4953"/>
    <w:rsid w:val="0F8E0DA6"/>
    <w:rsid w:val="0FA7747A"/>
    <w:rsid w:val="0FCD3D72"/>
    <w:rsid w:val="0FED56EF"/>
    <w:rsid w:val="0FFE4D75"/>
    <w:rsid w:val="100C7469"/>
    <w:rsid w:val="101316CB"/>
    <w:rsid w:val="10154C70"/>
    <w:rsid w:val="1031679E"/>
    <w:rsid w:val="103A38DC"/>
    <w:rsid w:val="10447AF2"/>
    <w:rsid w:val="104C1BD4"/>
    <w:rsid w:val="105C3F66"/>
    <w:rsid w:val="10716B67"/>
    <w:rsid w:val="10907E3C"/>
    <w:rsid w:val="10BC41A0"/>
    <w:rsid w:val="10CC2618"/>
    <w:rsid w:val="10DD1F8E"/>
    <w:rsid w:val="10FA61E7"/>
    <w:rsid w:val="110C5208"/>
    <w:rsid w:val="111F2DD2"/>
    <w:rsid w:val="112D4302"/>
    <w:rsid w:val="112E6260"/>
    <w:rsid w:val="113504F7"/>
    <w:rsid w:val="113C6821"/>
    <w:rsid w:val="1147790B"/>
    <w:rsid w:val="115225F0"/>
    <w:rsid w:val="1182526D"/>
    <w:rsid w:val="119B5D70"/>
    <w:rsid w:val="11B61B0D"/>
    <w:rsid w:val="11D5633D"/>
    <w:rsid w:val="11E837E4"/>
    <w:rsid w:val="11F17A63"/>
    <w:rsid w:val="11F67D9B"/>
    <w:rsid w:val="12021F50"/>
    <w:rsid w:val="120C7329"/>
    <w:rsid w:val="121D5B4B"/>
    <w:rsid w:val="12301AE7"/>
    <w:rsid w:val="12444598"/>
    <w:rsid w:val="124E5814"/>
    <w:rsid w:val="12595D2F"/>
    <w:rsid w:val="127D1F45"/>
    <w:rsid w:val="12C04F39"/>
    <w:rsid w:val="12C40FFA"/>
    <w:rsid w:val="12CB401C"/>
    <w:rsid w:val="12E965CC"/>
    <w:rsid w:val="12F4204C"/>
    <w:rsid w:val="12F53C36"/>
    <w:rsid w:val="12F629FD"/>
    <w:rsid w:val="13085F47"/>
    <w:rsid w:val="133D42F8"/>
    <w:rsid w:val="137A2F31"/>
    <w:rsid w:val="13D0437D"/>
    <w:rsid w:val="13EB653A"/>
    <w:rsid w:val="143633C1"/>
    <w:rsid w:val="14447004"/>
    <w:rsid w:val="148B416E"/>
    <w:rsid w:val="14967166"/>
    <w:rsid w:val="14B35000"/>
    <w:rsid w:val="14BA370F"/>
    <w:rsid w:val="14ED01F3"/>
    <w:rsid w:val="14ED4B59"/>
    <w:rsid w:val="14FB1132"/>
    <w:rsid w:val="15045BB5"/>
    <w:rsid w:val="15240958"/>
    <w:rsid w:val="153B505C"/>
    <w:rsid w:val="1555059D"/>
    <w:rsid w:val="156343BB"/>
    <w:rsid w:val="1565087E"/>
    <w:rsid w:val="158A0564"/>
    <w:rsid w:val="158B400F"/>
    <w:rsid w:val="15A11FB8"/>
    <w:rsid w:val="15B36D47"/>
    <w:rsid w:val="15B46424"/>
    <w:rsid w:val="15CE39E1"/>
    <w:rsid w:val="15FC5922"/>
    <w:rsid w:val="16040A53"/>
    <w:rsid w:val="161E7E44"/>
    <w:rsid w:val="16230D78"/>
    <w:rsid w:val="16297D15"/>
    <w:rsid w:val="1630144A"/>
    <w:rsid w:val="16353B21"/>
    <w:rsid w:val="16577C71"/>
    <w:rsid w:val="165D633E"/>
    <w:rsid w:val="167A08DB"/>
    <w:rsid w:val="169C3C23"/>
    <w:rsid w:val="16A21031"/>
    <w:rsid w:val="16AF20C8"/>
    <w:rsid w:val="16C45014"/>
    <w:rsid w:val="16CE3870"/>
    <w:rsid w:val="16FD1B3C"/>
    <w:rsid w:val="170F58EB"/>
    <w:rsid w:val="1729078F"/>
    <w:rsid w:val="173552AE"/>
    <w:rsid w:val="174014CD"/>
    <w:rsid w:val="17524160"/>
    <w:rsid w:val="17733954"/>
    <w:rsid w:val="177B11D8"/>
    <w:rsid w:val="177E3516"/>
    <w:rsid w:val="17972FF1"/>
    <w:rsid w:val="179F16DF"/>
    <w:rsid w:val="17A94745"/>
    <w:rsid w:val="17AB559C"/>
    <w:rsid w:val="17B41841"/>
    <w:rsid w:val="17C73E6F"/>
    <w:rsid w:val="17C85590"/>
    <w:rsid w:val="17DD3D14"/>
    <w:rsid w:val="17F0025A"/>
    <w:rsid w:val="18157B84"/>
    <w:rsid w:val="18231987"/>
    <w:rsid w:val="185E1795"/>
    <w:rsid w:val="1870656C"/>
    <w:rsid w:val="188C3081"/>
    <w:rsid w:val="18961811"/>
    <w:rsid w:val="18A876F2"/>
    <w:rsid w:val="18A92EF4"/>
    <w:rsid w:val="18B9480E"/>
    <w:rsid w:val="18B9619D"/>
    <w:rsid w:val="18D656A7"/>
    <w:rsid w:val="18D84B14"/>
    <w:rsid w:val="18DF1279"/>
    <w:rsid w:val="18E44632"/>
    <w:rsid w:val="18EC7A62"/>
    <w:rsid w:val="1906167E"/>
    <w:rsid w:val="191E4FD4"/>
    <w:rsid w:val="19314B52"/>
    <w:rsid w:val="195B34A6"/>
    <w:rsid w:val="1971594C"/>
    <w:rsid w:val="19860797"/>
    <w:rsid w:val="199F1A36"/>
    <w:rsid w:val="19B519BD"/>
    <w:rsid w:val="19C07FE2"/>
    <w:rsid w:val="19D02CF8"/>
    <w:rsid w:val="19EE538B"/>
    <w:rsid w:val="19F05575"/>
    <w:rsid w:val="1A0F29BA"/>
    <w:rsid w:val="1A0F34CF"/>
    <w:rsid w:val="1A603785"/>
    <w:rsid w:val="1A6518FC"/>
    <w:rsid w:val="1A6A540C"/>
    <w:rsid w:val="1A6A7860"/>
    <w:rsid w:val="1A6E146B"/>
    <w:rsid w:val="1A7F5B09"/>
    <w:rsid w:val="1A8009D5"/>
    <w:rsid w:val="1AAF2D26"/>
    <w:rsid w:val="1AC474F7"/>
    <w:rsid w:val="1AC860B3"/>
    <w:rsid w:val="1ACB3201"/>
    <w:rsid w:val="1ADA65A6"/>
    <w:rsid w:val="1AE16AA7"/>
    <w:rsid w:val="1B0D1C1A"/>
    <w:rsid w:val="1B121DC3"/>
    <w:rsid w:val="1B142779"/>
    <w:rsid w:val="1B3262A8"/>
    <w:rsid w:val="1B46240B"/>
    <w:rsid w:val="1B543C49"/>
    <w:rsid w:val="1B56197D"/>
    <w:rsid w:val="1B5C4729"/>
    <w:rsid w:val="1BA608F4"/>
    <w:rsid w:val="1BA72A41"/>
    <w:rsid w:val="1BAE47BF"/>
    <w:rsid w:val="1BBC0700"/>
    <w:rsid w:val="1BD30177"/>
    <w:rsid w:val="1BE54A4F"/>
    <w:rsid w:val="1BEE218B"/>
    <w:rsid w:val="1C0A51E7"/>
    <w:rsid w:val="1C0B509C"/>
    <w:rsid w:val="1C10754A"/>
    <w:rsid w:val="1C12776F"/>
    <w:rsid w:val="1C1A1A3D"/>
    <w:rsid w:val="1C2C3BC4"/>
    <w:rsid w:val="1C6B29BC"/>
    <w:rsid w:val="1C7862ED"/>
    <w:rsid w:val="1C8C5F66"/>
    <w:rsid w:val="1CB35C0A"/>
    <w:rsid w:val="1CB60E0C"/>
    <w:rsid w:val="1CB731AA"/>
    <w:rsid w:val="1CCD0569"/>
    <w:rsid w:val="1CCD3031"/>
    <w:rsid w:val="1CD203FA"/>
    <w:rsid w:val="1CD6670A"/>
    <w:rsid w:val="1CE77041"/>
    <w:rsid w:val="1D32554B"/>
    <w:rsid w:val="1D3F776F"/>
    <w:rsid w:val="1D5F1AB5"/>
    <w:rsid w:val="1D754862"/>
    <w:rsid w:val="1D9F79C0"/>
    <w:rsid w:val="1DA069AB"/>
    <w:rsid w:val="1DB03CD0"/>
    <w:rsid w:val="1DCD63C1"/>
    <w:rsid w:val="1E1D3477"/>
    <w:rsid w:val="1E292E52"/>
    <w:rsid w:val="1E32575C"/>
    <w:rsid w:val="1E355016"/>
    <w:rsid w:val="1E5F0B81"/>
    <w:rsid w:val="1E746983"/>
    <w:rsid w:val="1E761259"/>
    <w:rsid w:val="1E795006"/>
    <w:rsid w:val="1E87205F"/>
    <w:rsid w:val="1E8A2727"/>
    <w:rsid w:val="1E9756A8"/>
    <w:rsid w:val="1EA05556"/>
    <w:rsid w:val="1EBD555B"/>
    <w:rsid w:val="1EC34334"/>
    <w:rsid w:val="1EDA5714"/>
    <w:rsid w:val="1EF4423E"/>
    <w:rsid w:val="1EF834FA"/>
    <w:rsid w:val="1F04279E"/>
    <w:rsid w:val="1F1E7609"/>
    <w:rsid w:val="1F3E134B"/>
    <w:rsid w:val="1F4420BD"/>
    <w:rsid w:val="1F5A124B"/>
    <w:rsid w:val="1F930FFB"/>
    <w:rsid w:val="1F951272"/>
    <w:rsid w:val="1F996E47"/>
    <w:rsid w:val="1F9A79B8"/>
    <w:rsid w:val="1FA834FD"/>
    <w:rsid w:val="1FB22109"/>
    <w:rsid w:val="1FBA3ED3"/>
    <w:rsid w:val="1FDA0242"/>
    <w:rsid w:val="1FDE464D"/>
    <w:rsid w:val="1FE24C1A"/>
    <w:rsid w:val="1FF26376"/>
    <w:rsid w:val="1FFE0C15"/>
    <w:rsid w:val="20062518"/>
    <w:rsid w:val="200665A4"/>
    <w:rsid w:val="20176E67"/>
    <w:rsid w:val="202567F2"/>
    <w:rsid w:val="202E00BA"/>
    <w:rsid w:val="203945B9"/>
    <w:rsid w:val="203B5E4A"/>
    <w:rsid w:val="20461A3D"/>
    <w:rsid w:val="20534041"/>
    <w:rsid w:val="20784847"/>
    <w:rsid w:val="207B46C6"/>
    <w:rsid w:val="209C5FA2"/>
    <w:rsid w:val="20BD6541"/>
    <w:rsid w:val="20C43619"/>
    <w:rsid w:val="20CD3EBD"/>
    <w:rsid w:val="20FB092C"/>
    <w:rsid w:val="21100555"/>
    <w:rsid w:val="21155B4A"/>
    <w:rsid w:val="214413FE"/>
    <w:rsid w:val="214D7A02"/>
    <w:rsid w:val="2171154B"/>
    <w:rsid w:val="217F1AF7"/>
    <w:rsid w:val="21843547"/>
    <w:rsid w:val="218911D0"/>
    <w:rsid w:val="218976B4"/>
    <w:rsid w:val="21AD55F8"/>
    <w:rsid w:val="21C64D07"/>
    <w:rsid w:val="21E26DB5"/>
    <w:rsid w:val="21EA1495"/>
    <w:rsid w:val="21EA7F94"/>
    <w:rsid w:val="21EC40C9"/>
    <w:rsid w:val="21F370B0"/>
    <w:rsid w:val="22046B09"/>
    <w:rsid w:val="220516E6"/>
    <w:rsid w:val="22062C99"/>
    <w:rsid w:val="221D390D"/>
    <w:rsid w:val="2251345B"/>
    <w:rsid w:val="22541F87"/>
    <w:rsid w:val="226E709F"/>
    <w:rsid w:val="22735D5B"/>
    <w:rsid w:val="227832D3"/>
    <w:rsid w:val="22800451"/>
    <w:rsid w:val="2283045E"/>
    <w:rsid w:val="22960798"/>
    <w:rsid w:val="229D732F"/>
    <w:rsid w:val="22B1591D"/>
    <w:rsid w:val="22B81FA1"/>
    <w:rsid w:val="22BA4BAC"/>
    <w:rsid w:val="23054204"/>
    <w:rsid w:val="23066402"/>
    <w:rsid w:val="23076FF0"/>
    <w:rsid w:val="230C46D3"/>
    <w:rsid w:val="23373898"/>
    <w:rsid w:val="234423F0"/>
    <w:rsid w:val="23643650"/>
    <w:rsid w:val="23692D78"/>
    <w:rsid w:val="23785703"/>
    <w:rsid w:val="239F3823"/>
    <w:rsid w:val="23AA1FD3"/>
    <w:rsid w:val="23C11DB6"/>
    <w:rsid w:val="23CC7FFB"/>
    <w:rsid w:val="23D2514D"/>
    <w:rsid w:val="23D27EB2"/>
    <w:rsid w:val="23DC09E4"/>
    <w:rsid w:val="23FA1FE5"/>
    <w:rsid w:val="24086C55"/>
    <w:rsid w:val="241F4950"/>
    <w:rsid w:val="24202B07"/>
    <w:rsid w:val="242C61E4"/>
    <w:rsid w:val="24551735"/>
    <w:rsid w:val="246608C7"/>
    <w:rsid w:val="247833A1"/>
    <w:rsid w:val="248E10A0"/>
    <w:rsid w:val="248F1A89"/>
    <w:rsid w:val="24B410D9"/>
    <w:rsid w:val="24B776A7"/>
    <w:rsid w:val="24E24F2D"/>
    <w:rsid w:val="24E54B88"/>
    <w:rsid w:val="24F32E9C"/>
    <w:rsid w:val="25114D73"/>
    <w:rsid w:val="251D3512"/>
    <w:rsid w:val="25441DB3"/>
    <w:rsid w:val="255414CA"/>
    <w:rsid w:val="25661F7C"/>
    <w:rsid w:val="258E565A"/>
    <w:rsid w:val="25A0480E"/>
    <w:rsid w:val="25CA6379"/>
    <w:rsid w:val="25E94392"/>
    <w:rsid w:val="25EB46EB"/>
    <w:rsid w:val="26007EDB"/>
    <w:rsid w:val="261F3F85"/>
    <w:rsid w:val="262B46D7"/>
    <w:rsid w:val="26500679"/>
    <w:rsid w:val="265449C4"/>
    <w:rsid w:val="269478AE"/>
    <w:rsid w:val="269660A0"/>
    <w:rsid w:val="26A36673"/>
    <w:rsid w:val="26A37F45"/>
    <w:rsid w:val="26A5652B"/>
    <w:rsid w:val="26A8535D"/>
    <w:rsid w:val="26DC48C5"/>
    <w:rsid w:val="2706587A"/>
    <w:rsid w:val="271E0E63"/>
    <w:rsid w:val="274054D1"/>
    <w:rsid w:val="2749405A"/>
    <w:rsid w:val="276E08C0"/>
    <w:rsid w:val="2785154C"/>
    <w:rsid w:val="27880FEE"/>
    <w:rsid w:val="279707A8"/>
    <w:rsid w:val="27992861"/>
    <w:rsid w:val="279A1463"/>
    <w:rsid w:val="27AD4AF4"/>
    <w:rsid w:val="27B36B7E"/>
    <w:rsid w:val="27D32B13"/>
    <w:rsid w:val="27D4652E"/>
    <w:rsid w:val="27D668C5"/>
    <w:rsid w:val="27E2669F"/>
    <w:rsid w:val="27F83C9F"/>
    <w:rsid w:val="28385920"/>
    <w:rsid w:val="28487047"/>
    <w:rsid w:val="28533044"/>
    <w:rsid w:val="28951D06"/>
    <w:rsid w:val="289870A9"/>
    <w:rsid w:val="289D15B5"/>
    <w:rsid w:val="28A27591"/>
    <w:rsid w:val="28C4410E"/>
    <w:rsid w:val="28D46356"/>
    <w:rsid w:val="28E7656A"/>
    <w:rsid w:val="29102BB7"/>
    <w:rsid w:val="29243F4D"/>
    <w:rsid w:val="295353E6"/>
    <w:rsid w:val="296341F3"/>
    <w:rsid w:val="298447DE"/>
    <w:rsid w:val="298F54D6"/>
    <w:rsid w:val="29A17514"/>
    <w:rsid w:val="29A35A97"/>
    <w:rsid w:val="29A54173"/>
    <w:rsid w:val="29B343FF"/>
    <w:rsid w:val="2A2354D8"/>
    <w:rsid w:val="2A341DC7"/>
    <w:rsid w:val="2A3B0802"/>
    <w:rsid w:val="2A6B463D"/>
    <w:rsid w:val="2A8329A5"/>
    <w:rsid w:val="2A973AC8"/>
    <w:rsid w:val="2ABA19BE"/>
    <w:rsid w:val="2ADE7FAB"/>
    <w:rsid w:val="2AE53467"/>
    <w:rsid w:val="2B577D69"/>
    <w:rsid w:val="2B605525"/>
    <w:rsid w:val="2B674D76"/>
    <w:rsid w:val="2B6E3A3E"/>
    <w:rsid w:val="2B8B551A"/>
    <w:rsid w:val="2BA17B5E"/>
    <w:rsid w:val="2BAE5245"/>
    <w:rsid w:val="2BC33B35"/>
    <w:rsid w:val="2BC72843"/>
    <w:rsid w:val="2BD87CD0"/>
    <w:rsid w:val="2BE15F99"/>
    <w:rsid w:val="2BF3741D"/>
    <w:rsid w:val="2C0A3184"/>
    <w:rsid w:val="2C216675"/>
    <w:rsid w:val="2C271325"/>
    <w:rsid w:val="2C306948"/>
    <w:rsid w:val="2C386BB9"/>
    <w:rsid w:val="2C3D01A4"/>
    <w:rsid w:val="2C616F85"/>
    <w:rsid w:val="2C71557B"/>
    <w:rsid w:val="2C841865"/>
    <w:rsid w:val="2C9F4EE5"/>
    <w:rsid w:val="2CA56ADD"/>
    <w:rsid w:val="2CAF6062"/>
    <w:rsid w:val="2CC04C3F"/>
    <w:rsid w:val="2CC12D95"/>
    <w:rsid w:val="2CD22774"/>
    <w:rsid w:val="2CE52E14"/>
    <w:rsid w:val="2D13440C"/>
    <w:rsid w:val="2D221C27"/>
    <w:rsid w:val="2D36307B"/>
    <w:rsid w:val="2D491EF6"/>
    <w:rsid w:val="2D4B34AF"/>
    <w:rsid w:val="2D7256F4"/>
    <w:rsid w:val="2D7D71D1"/>
    <w:rsid w:val="2D811DAC"/>
    <w:rsid w:val="2D824FAF"/>
    <w:rsid w:val="2D837A51"/>
    <w:rsid w:val="2DE4201C"/>
    <w:rsid w:val="2E1D0A29"/>
    <w:rsid w:val="2E2214EB"/>
    <w:rsid w:val="2E363AAB"/>
    <w:rsid w:val="2E5205B5"/>
    <w:rsid w:val="2E6F3C4F"/>
    <w:rsid w:val="2E793BE0"/>
    <w:rsid w:val="2E7D4A33"/>
    <w:rsid w:val="2E7F669D"/>
    <w:rsid w:val="2E8577AA"/>
    <w:rsid w:val="2E892613"/>
    <w:rsid w:val="2EC2482A"/>
    <w:rsid w:val="2EC96405"/>
    <w:rsid w:val="2EE84B58"/>
    <w:rsid w:val="2EEE3B65"/>
    <w:rsid w:val="2EF56DD4"/>
    <w:rsid w:val="2F143210"/>
    <w:rsid w:val="2F16160D"/>
    <w:rsid w:val="2F1965A2"/>
    <w:rsid w:val="2F1B4FB7"/>
    <w:rsid w:val="2F261EE0"/>
    <w:rsid w:val="2F347AF2"/>
    <w:rsid w:val="2F397228"/>
    <w:rsid w:val="2F6C006D"/>
    <w:rsid w:val="2F9F7ADB"/>
    <w:rsid w:val="2FA70495"/>
    <w:rsid w:val="2FC6117E"/>
    <w:rsid w:val="2FDF42CD"/>
    <w:rsid w:val="2FEC4E0A"/>
    <w:rsid w:val="2FFE768E"/>
    <w:rsid w:val="30021656"/>
    <w:rsid w:val="30196F7B"/>
    <w:rsid w:val="3022197E"/>
    <w:rsid w:val="302221F7"/>
    <w:rsid w:val="30234A42"/>
    <w:rsid w:val="30254490"/>
    <w:rsid w:val="30342865"/>
    <w:rsid w:val="3037436F"/>
    <w:rsid w:val="30501D33"/>
    <w:rsid w:val="30740B8E"/>
    <w:rsid w:val="30897E0A"/>
    <w:rsid w:val="30D6546E"/>
    <w:rsid w:val="30E730C3"/>
    <w:rsid w:val="30E94903"/>
    <w:rsid w:val="31073E27"/>
    <w:rsid w:val="311C6926"/>
    <w:rsid w:val="31221B85"/>
    <w:rsid w:val="315174A9"/>
    <w:rsid w:val="31677564"/>
    <w:rsid w:val="3168491E"/>
    <w:rsid w:val="3178158E"/>
    <w:rsid w:val="3199665D"/>
    <w:rsid w:val="31B01B4E"/>
    <w:rsid w:val="31F80A9A"/>
    <w:rsid w:val="32047DCA"/>
    <w:rsid w:val="320828E1"/>
    <w:rsid w:val="32697D44"/>
    <w:rsid w:val="326E50B8"/>
    <w:rsid w:val="327631F4"/>
    <w:rsid w:val="327D1084"/>
    <w:rsid w:val="327E6664"/>
    <w:rsid w:val="32D569F7"/>
    <w:rsid w:val="32EC78F0"/>
    <w:rsid w:val="32EF1E93"/>
    <w:rsid w:val="32FB3AD4"/>
    <w:rsid w:val="33051042"/>
    <w:rsid w:val="33055644"/>
    <w:rsid w:val="330C3FC2"/>
    <w:rsid w:val="331705AC"/>
    <w:rsid w:val="332349A5"/>
    <w:rsid w:val="33243AD9"/>
    <w:rsid w:val="3330245A"/>
    <w:rsid w:val="33355CCB"/>
    <w:rsid w:val="33612490"/>
    <w:rsid w:val="336B086B"/>
    <w:rsid w:val="337E0C62"/>
    <w:rsid w:val="33940E96"/>
    <w:rsid w:val="339F341B"/>
    <w:rsid w:val="33A724EE"/>
    <w:rsid w:val="33E10976"/>
    <w:rsid w:val="3407536A"/>
    <w:rsid w:val="34104D4C"/>
    <w:rsid w:val="34253971"/>
    <w:rsid w:val="342638B3"/>
    <w:rsid w:val="34675A77"/>
    <w:rsid w:val="346E3BBB"/>
    <w:rsid w:val="347B4A7C"/>
    <w:rsid w:val="347B79A2"/>
    <w:rsid w:val="34A47556"/>
    <w:rsid w:val="34B44D4D"/>
    <w:rsid w:val="34BB0708"/>
    <w:rsid w:val="34C06FD3"/>
    <w:rsid w:val="34CA5108"/>
    <w:rsid w:val="34E26BDE"/>
    <w:rsid w:val="352978C7"/>
    <w:rsid w:val="352B4327"/>
    <w:rsid w:val="352C7EA8"/>
    <w:rsid w:val="353A6FA3"/>
    <w:rsid w:val="35466E38"/>
    <w:rsid w:val="35660B83"/>
    <w:rsid w:val="358259D7"/>
    <w:rsid w:val="35911665"/>
    <w:rsid w:val="35A71872"/>
    <w:rsid w:val="35D1779B"/>
    <w:rsid w:val="35D76B12"/>
    <w:rsid w:val="35EE4477"/>
    <w:rsid w:val="35F86C9B"/>
    <w:rsid w:val="35FA1966"/>
    <w:rsid w:val="36323BCC"/>
    <w:rsid w:val="368470A2"/>
    <w:rsid w:val="36882BC8"/>
    <w:rsid w:val="369F0A82"/>
    <w:rsid w:val="36A67CCF"/>
    <w:rsid w:val="36AE3A2E"/>
    <w:rsid w:val="36B60868"/>
    <w:rsid w:val="36CC46F5"/>
    <w:rsid w:val="36D37EA5"/>
    <w:rsid w:val="36E62225"/>
    <w:rsid w:val="36F80BF4"/>
    <w:rsid w:val="36FA510F"/>
    <w:rsid w:val="37005F51"/>
    <w:rsid w:val="37090CD6"/>
    <w:rsid w:val="37266635"/>
    <w:rsid w:val="372E7110"/>
    <w:rsid w:val="373076E4"/>
    <w:rsid w:val="37435836"/>
    <w:rsid w:val="37454F55"/>
    <w:rsid w:val="37553354"/>
    <w:rsid w:val="377536DF"/>
    <w:rsid w:val="37C33BCD"/>
    <w:rsid w:val="37D23125"/>
    <w:rsid w:val="37F21C1F"/>
    <w:rsid w:val="380806BC"/>
    <w:rsid w:val="3810689A"/>
    <w:rsid w:val="3815399E"/>
    <w:rsid w:val="3824679F"/>
    <w:rsid w:val="38292433"/>
    <w:rsid w:val="38802AF6"/>
    <w:rsid w:val="38885757"/>
    <w:rsid w:val="38894CC5"/>
    <w:rsid w:val="388B5F88"/>
    <w:rsid w:val="388C2765"/>
    <w:rsid w:val="38B5650E"/>
    <w:rsid w:val="38D0609A"/>
    <w:rsid w:val="38E75855"/>
    <w:rsid w:val="391448A6"/>
    <w:rsid w:val="39242731"/>
    <w:rsid w:val="392F7A16"/>
    <w:rsid w:val="39400F78"/>
    <w:rsid w:val="39674F58"/>
    <w:rsid w:val="39712E42"/>
    <w:rsid w:val="397864CF"/>
    <w:rsid w:val="39B22662"/>
    <w:rsid w:val="39B9173D"/>
    <w:rsid w:val="39BB5743"/>
    <w:rsid w:val="39C656CF"/>
    <w:rsid w:val="39D63D78"/>
    <w:rsid w:val="39E258BA"/>
    <w:rsid w:val="3A270BF4"/>
    <w:rsid w:val="3A2C5E09"/>
    <w:rsid w:val="3A374711"/>
    <w:rsid w:val="3A482F39"/>
    <w:rsid w:val="3A542FF7"/>
    <w:rsid w:val="3A6C716A"/>
    <w:rsid w:val="3A7923EF"/>
    <w:rsid w:val="3A877262"/>
    <w:rsid w:val="3AA31AA3"/>
    <w:rsid w:val="3AA840F1"/>
    <w:rsid w:val="3B1D294C"/>
    <w:rsid w:val="3B2E7228"/>
    <w:rsid w:val="3B476ACD"/>
    <w:rsid w:val="3B4A4D1A"/>
    <w:rsid w:val="3B6B4D34"/>
    <w:rsid w:val="3B76430B"/>
    <w:rsid w:val="3B783C6A"/>
    <w:rsid w:val="3B916781"/>
    <w:rsid w:val="3BB35154"/>
    <w:rsid w:val="3BDD02C5"/>
    <w:rsid w:val="3BDD63FF"/>
    <w:rsid w:val="3C037F52"/>
    <w:rsid w:val="3C15010E"/>
    <w:rsid w:val="3C190371"/>
    <w:rsid w:val="3C4A7B8C"/>
    <w:rsid w:val="3C4E355F"/>
    <w:rsid w:val="3C6463FA"/>
    <w:rsid w:val="3C7C106B"/>
    <w:rsid w:val="3C91369C"/>
    <w:rsid w:val="3CA84C67"/>
    <w:rsid w:val="3CB432B3"/>
    <w:rsid w:val="3CBF4CCB"/>
    <w:rsid w:val="3CC9565A"/>
    <w:rsid w:val="3CDA7BF0"/>
    <w:rsid w:val="3CEE7734"/>
    <w:rsid w:val="3D181D64"/>
    <w:rsid w:val="3D444BCA"/>
    <w:rsid w:val="3D53112B"/>
    <w:rsid w:val="3D5F6B77"/>
    <w:rsid w:val="3D6854A5"/>
    <w:rsid w:val="3D84116E"/>
    <w:rsid w:val="3D960706"/>
    <w:rsid w:val="3D977FA2"/>
    <w:rsid w:val="3DAC188B"/>
    <w:rsid w:val="3DB31353"/>
    <w:rsid w:val="3DB47ECB"/>
    <w:rsid w:val="3DFE194E"/>
    <w:rsid w:val="3E023E17"/>
    <w:rsid w:val="3E0456CC"/>
    <w:rsid w:val="3E234932"/>
    <w:rsid w:val="3E4874A6"/>
    <w:rsid w:val="3E5157CB"/>
    <w:rsid w:val="3E6560E4"/>
    <w:rsid w:val="3E83739B"/>
    <w:rsid w:val="3E876A24"/>
    <w:rsid w:val="3E9C6B44"/>
    <w:rsid w:val="3EB64E72"/>
    <w:rsid w:val="3EBF59D0"/>
    <w:rsid w:val="3EF544E6"/>
    <w:rsid w:val="3F0F5CA0"/>
    <w:rsid w:val="3F103723"/>
    <w:rsid w:val="3F113F61"/>
    <w:rsid w:val="3F1B2B21"/>
    <w:rsid w:val="3F246E28"/>
    <w:rsid w:val="3F4C7688"/>
    <w:rsid w:val="3F4E63C2"/>
    <w:rsid w:val="3F820178"/>
    <w:rsid w:val="3FA46322"/>
    <w:rsid w:val="3FD91DCF"/>
    <w:rsid w:val="3FDA1DC1"/>
    <w:rsid w:val="3FF56730"/>
    <w:rsid w:val="40037645"/>
    <w:rsid w:val="401E4738"/>
    <w:rsid w:val="401E708D"/>
    <w:rsid w:val="40231033"/>
    <w:rsid w:val="4023565A"/>
    <w:rsid w:val="40303BE5"/>
    <w:rsid w:val="40377592"/>
    <w:rsid w:val="403C65F0"/>
    <w:rsid w:val="405B77B6"/>
    <w:rsid w:val="405E7E2A"/>
    <w:rsid w:val="406311E6"/>
    <w:rsid w:val="40662CB8"/>
    <w:rsid w:val="406A16BE"/>
    <w:rsid w:val="40AE7DB5"/>
    <w:rsid w:val="40CE2B32"/>
    <w:rsid w:val="40D469B6"/>
    <w:rsid w:val="40E37FEE"/>
    <w:rsid w:val="40E96FB8"/>
    <w:rsid w:val="40FC510A"/>
    <w:rsid w:val="411A5EFA"/>
    <w:rsid w:val="41215444"/>
    <w:rsid w:val="412A0127"/>
    <w:rsid w:val="41604B7A"/>
    <w:rsid w:val="416D2B60"/>
    <w:rsid w:val="41702ABD"/>
    <w:rsid w:val="419E043B"/>
    <w:rsid w:val="41A213BA"/>
    <w:rsid w:val="41B75F61"/>
    <w:rsid w:val="41C92660"/>
    <w:rsid w:val="42006861"/>
    <w:rsid w:val="420829DA"/>
    <w:rsid w:val="421131D8"/>
    <w:rsid w:val="42114789"/>
    <w:rsid w:val="421E6786"/>
    <w:rsid w:val="423A0E18"/>
    <w:rsid w:val="423D5A96"/>
    <w:rsid w:val="424A2D04"/>
    <w:rsid w:val="424F5B49"/>
    <w:rsid w:val="425B63CE"/>
    <w:rsid w:val="42607801"/>
    <w:rsid w:val="4268361D"/>
    <w:rsid w:val="426B3842"/>
    <w:rsid w:val="429D429D"/>
    <w:rsid w:val="42A87540"/>
    <w:rsid w:val="42B72BB4"/>
    <w:rsid w:val="42C3140E"/>
    <w:rsid w:val="42E87348"/>
    <w:rsid w:val="43056CC1"/>
    <w:rsid w:val="43081C3F"/>
    <w:rsid w:val="430D78DE"/>
    <w:rsid w:val="431C16D0"/>
    <w:rsid w:val="4322376C"/>
    <w:rsid w:val="43244A8B"/>
    <w:rsid w:val="43250F50"/>
    <w:rsid w:val="4341335D"/>
    <w:rsid w:val="43496D97"/>
    <w:rsid w:val="434A695B"/>
    <w:rsid w:val="436A4923"/>
    <w:rsid w:val="437003E5"/>
    <w:rsid w:val="43783550"/>
    <w:rsid w:val="437C403E"/>
    <w:rsid w:val="438C1FBD"/>
    <w:rsid w:val="439D20AF"/>
    <w:rsid w:val="43A93A37"/>
    <w:rsid w:val="43AA3579"/>
    <w:rsid w:val="43C92044"/>
    <w:rsid w:val="43D14BEA"/>
    <w:rsid w:val="43E346CC"/>
    <w:rsid w:val="43EE2DD6"/>
    <w:rsid w:val="43F448B1"/>
    <w:rsid w:val="43F6267A"/>
    <w:rsid w:val="44187823"/>
    <w:rsid w:val="443963EC"/>
    <w:rsid w:val="44626EC2"/>
    <w:rsid w:val="44845B95"/>
    <w:rsid w:val="44CE649C"/>
    <w:rsid w:val="44DF3D8B"/>
    <w:rsid w:val="44E40213"/>
    <w:rsid w:val="44E67302"/>
    <w:rsid w:val="44FA39ED"/>
    <w:rsid w:val="44FE3735"/>
    <w:rsid w:val="450D0E36"/>
    <w:rsid w:val="45100AD9"/>
    <w:rsid w:val="45280271"/>
    <w:rsid w:val="454B674A"/>
    <w:rsid w:val="45837D47"/>
    <w:rsid w:val="458F3F2F"/>
    <w:rsid w:val="45BB1406"/>
    <w:rsid w:val="45BE70CB"/>
    <w:rsid w:val="45C341A9"/>
    <w:rsid w:val="45C74089"/>
    <w:rsid w:val="45D50E20"/>
    <w:rsid w:val="45F2294E"/>
    <w:rsid w:val="462346FC"/>
    <w:rsid w:val="46400BBF"/>
    <w:rsid w:val="465E0DA5"/>
    <w:rsid w:val="466A6983"/>
    <w:rsid w:val="46756FE8"/>
    <w:rsid w:val="467D7C19"/>
    <w:rsid w:val="467F34A1"/>
    <w:rsid w:val="468515C7"/>
    <w:rsid w:val="46C43BD1"/>
    <w:rsid w:val="46CB5EB5"/>
    <w:rsid w:val="46EC3E5B"/>
    <w:rsid w:val="46EE736E"/>
    <w:rsid w:val="46F6153D"/>
    <w:rsid w:val="46F95786"/>
    <w:rsid w:val="47050006"/>
    <w:rsid w:val="47100DF3"/>
    <w:rsid w:val="472E4611"/>
    <w:rsid w:val="473E1C84"/>
    <w:rsid w:val="47441585"/>
    <w:rsid w:val="47457D7D"/>
    <w:rsid w:val="474852EF"/>
    <w:rsid w:val="47492F00"/>
    <w:rsid w:val="4750610E"/>
    <w:rsid w:val="47A47D96"/>
    <w:rsid w:val="47B20A8C"/>
    <w:rsid w:val="47BB57BD"/>
    <w:rsid w:val="47D3180F"/>
    <w:rsid w:val="47EF343D"/>
    <w:rsid w:val="47F251E4"/>
    <w:rsid w:val="48240AA8"/>
    <w:rsid w:val="48250CF8"/>
    <w:rsid w:val="486B42DC"/>
    <w:rsid w:val="48737C27"/>
    <w:rsid w:val="488F0B6A"/>
    <w:rsid w:val="489B7043"/>
    <w:rsid w:val="48C7225E"/>
    <w:rsid w:val="48D2569E"/>
    <w:rsid w:val="48FF4516"/>
    <w:rsid w:val="49001B3F"/>
    <w:rsid w:val="493A06BB"/>
    <w:rsid w:val="49442C5E"/>
    <w:rsid w:val="497C5AB0"/>
    <w:rsid w:val="49812A7F"/>
    <w:rsid w:val="49895051"/>
    <w:rsid w:val="498F0BBB"/>
    <w:rsid w:val="49993046"/>
    <w:rsid w:val="499D7C4A"/>
    <w:rsid w:val="49F854BE"/>
    <w:rsid w:val="4A080F4F"/>
    <w:rsid w:val="4A1631AC"/>
    <w:rsid w:val="4A2143B8"/>
    <w:rsid w:val="4A2E0ECB"/>
    <w:rsid w:val="4A38373C"/>
    <w:rsid w:val="4A6A6375"/>
    <w:rsid w:val="4A76120C"/>
    <w:rsid w:val="4A8B4ACE"/>
    <w:rsid w:val="4A8C3685"/>
    <w:rsid w:val="4A926EF6"/>
    <w:rsid w:val="4A970B46"/>
    <w:rsid w:val="4ACE026D"/>
    <w:rsid w:val="4AE53C33"/>
    <w:rsid w:val="4AE61BB5"/>
    <w:rsid w:val="4B0A3297"/>
    <w:rsid w:val="4B2342F6"/>
    <w:rsid w:val="4B241AFD"/>
    <w:rsid w:val="4B2E00BC"/>
    <w:rsid w:val="4B2F707E"/>
    <w:rsid w:val="4B5A1074"/>
    <w:rsid w:val="4B6E5348"/>
    <w:rsid w:val="4B93319E"/>
    <w:rsid w:val="4BA94834"/>
    <w:rsid w:val="4BDE25B9"/>
    <w:rsid w:val="4BE17BFD"/>
    <w:rsid w:val="4BF357BC"/>
    <w:rsid w:val="4C5009C0"/>
    <w:rsid w:val="4C530E40"/>
    <w:rsid w:val="4C563DF5"/>
    <w:rsid w:val="4C761726"/>
    <w:rsid w:val="4C793674"/>
    <w:rsid w:val="4C8911E9"/>
    <w:rsid w:val="4CEA08DD"/>
    <w:rsid w:val="4CF33B63"/>
    <w:rsid w:val="4CF46CCF"/>
    <w:rsid w:val="4CF773EE"/>
    <w:rsid w:val="4D0A379C"/>
    <w:rsid w:val="4D0B7DC8"/>
    <w:rsid w:val="4D1F7FF2"/>
    <w:rsid w:val="4D493872"/>
    <w:rsid w:val="4D5557C5"/>
    <w:rsid w:val="4DBA78F4"/>
    <w:rsid w:val="4DD44CCC"/>
    <w:rsid w:val="4DDD6A1E"/>
    <w:rsid w:val="4DE55586"/>
    <w:rsid w:val="4DE70A72"/>
    <w:rsid w:val="4DE9484C"/>
    <w:rsid w:val="4E331BD9"/>
    <w:rsid w:val="4E5C081F"/>
    <w:rsid w:val="4E69070A"/>
    <w:rsid w:val="4E8B26C3"/>
    <w:rsid w:val="4E8C28D5"/>
    <w:rsid w:val="4E9912F1"/>
    <w:rsid w:val="4EA97825"/>
    <w:rsid w:val="4ED76901"/>
    <w:rsid w:val="4F013FD3"/>
    <w:rsid w:val="4F09543A"/>
    <w:rsid w:val="4F260C07"/>
    <w:rsid w:val="4F3D791D"/>
    <w:rsid w:val="4F7534EA"/>
    <w:rsid w:val="4F8A162B"/>
    <w:rsid w:val="4FA47CCA"/>
    <w:rsid w:val="4FB33123"/>
    <w:rsid w:val="4FC12C7F"/>
    <w:rsid w:val="4FFC6B42"/>
    <w:rsid w:val="501A491E"/>
    <w:rsid w:val="501E3A52"/>
    <w:rsid w:val="502F2A1B"/>
    <w:rsid w:val="503500A5"/>
    <w:rsid w:val="5038102A"/>
    <w:rsid w:val="505D05C7"/>
    <w:rsid w:val="50794B22"/>
    <w:rsid w:val="509803A1"/>
    <w:rsid w:val="50A51E25"/>
    <w:rsid w:val="50D56801"/>
    <w:rsid w:val="50E1178F"/>
    <w:rsid w:val="50F04F55"/>
    <w:rsid w:val="51011FE8"/>
    <w:rsid w:val="51042619"/>
    <w:rsid w:val="51195480"/>
    <w:rsid w:val="51423801"/>
    <w:rsid w:val="516130D4"/>
    <w:rsid w:val="51623FE8"/>
    <w:rsid w:val="516B4980"/>
    <w:rsid w:val="516C5C28"/>
    <w:rsid w:val="51713068"/>
    <w:rsid w:val="51785239"/>
    <w:rsid w:val="518F4E5F"/>
    <w:rsid w:val="51A256D3"/>
    <w:rsid w:val="51AD4C2A"/>
    <w:rsid w:val="51C67E65"/>
    <w:rsid w:val="51C756A0"/>
    <w:rsid w:val="51C76511"/>
    <w:rsid w:val="51CC527A"/>
    <w:rsid w:val="51D1262F"/>
    <w:rsid w:val="51E323EF"/>
    <w:rsid w:val="51E7129B"/>
    <w:rsid w:val="51FB470F"/>
    <w:rsid w:val="520934A3"/>
    <w:rsid w:val="52163C9A"/>
    <w:rsid w:val="521C46C2"/>
    <w:rsid w:val="52294D23"/>
    <w:rsid w:val="523E4CC9"/>
    <w:rsid w:val="527350D1"/>
    <w:rsid w:val="527949B6"/>
    <w:rsid w:val="527A194B"/>
    <w:rsid w:val="528F544B"/>
    <w:rsid w:val="52972BF3"/>
    <w:rsid w:val="52BC29D7"/>
    <w:rsid w:val="52D10D73"/>
    <w:rsid w:val="52D50FE5"/>
    <w:rsid w:val="52E501A8"/>
    <w:rsid w:val="52E54084"/>
    <w:rsid w:val="52F42BF9"/>
    <w:rsid w:val="530178C0"/>
    <w:rsid w:val="53085027"/>
    <w:rsid w:val="530A56F7"/>
    <w:rsid w:val="532C5B84"/>
    <w:rsid w:val="534E6D2C"/>
    <w:rsid w:val="535324BD"/>
    <w:rsid w:val="536611E1"/>
    <w:rsid w:val="536D52C8"/>
    <w:rsid w:val="5384668A"/>
    <w:rsid w:val="539A75E0"/>
    <w:rsid w:val="539B25ED"/>
    <w:rsid w:val="53A043DF"/>
    <w:rsid w:val="53BA6A16"/>
    <w:rsid w:val="53C27B7A"/>
    <w:rsid w:val="53C54A7E"/>
    <w:rsid w:val="53CC6C4A"/>
    <w:rsid w:val="53CD1A4E"/>
    <w:rsid w:val="53DF0DAF"/>
    <w:rsid w:val="540753EA"/>
    <w:rsid w:val="540930BB"/>
    <w:rsid w:val="540B2F57"/>
    <w:rsid w:val="54154F64"/>
    <w:rsid w:val="54464E80"/>
    <w:rsid w:val="544C01DA"/>
    <w:rsid w:val="544F49E2"/>
    <w:rsid w:val="545C15FB"/>
    <w:rsid w:val="545E246E"/>
    <w:rsid w:val="5495453C"/>
    <w:rsid w:val="54B22236"/>
    <w:rsid w:val="54BC174D"/>
    <w:rsid w:val="54D824DB"/>
    <w:rsid w:val="54DE1C6E"/>
    <w:rsid w:val="54E67C46"/>
    <w:rsid w:val="54EB3BC6"/>
    <w:rsid w:val="55015F3A"/>
    <w:rsid w:val="550240DE"/>
    <w:rsid w:val="55094F55"/>
    <w:rsid w:val="55106474"/>
    <w:rsid w:val="5537125A"/>
    <w:rsid w:val="558551CE"/>
    <w:rsid w:val="55880B9A"/>
    <w:rsid w:val="55931450"/>
    <w:rsid w:val="55E405EC"/>
    <w:rsid w:val="55F4166D"/>
    <w:rsid w:val="56002AEF"/>
    <w:rsid w:val="56044F0C"/>
    <w:rsid w:val="56304020"/>
    <w:rsid w:val="563D139C"/>
    <w:rsid w:val="56750F61"/>
    <w:rsid w:val="56862266"/>
    <w:rsid w:val="56984D46"/>
    <w:rsid w:val="56B53EF7"/>
    <w:rsid w:val="56D05C0F"/>
    <w:rsid w:val="56F219E2"/>
    <w:rsid w:val="56F50876"/>
    <w:rsid w:val="56FD1C04"/>
    <w:rsid w:val="57533138"/>
    <w:rsid w:val="5760424F"/>
    <w:rsid w:val="576C3D31"/>
    <w:rsid w:val="57934217"/>
    <w:rsid w:val="57BD2BB8"/>
    <w:rsid w:val="57F401A9"/>
    <w:rsid w:val="57F64A80"/>
    <w:rsid w:val="5810596B"/>
    <w:rsid w:val="581267B2"/>
    <w:rsid w:val="581C40D9"/>
    <w:rsid w:val="585323F6"/>
    <w:rsid w:val="58695436"/>
    <w:rsid w:val="58881C2F"/>
    <w:rsid w:val="58B15E08"/>
    <w:rsid w:val="58B60851"/>
    <w:rsid w:val="58BA4EFC"/>
    <w:rsid w:val="58C529BB"/>
    <w:rsid w:val="58DD7FD9"/>
    <w:rsid w:val="58E7636A"/>
    <w:rsid w:val="59017E43"/>
    <w:rsid w:val="590A108E"/>
    <w:rsid w:val="59237127"/>
    <w:rsid w:val="59291DE3"/>
    <w:rsid w:val="59411F8B"/>
    <w:rsid w:val="594C38B6"/>
    <w:rsid w:val="59525D5E"/>
    <w:rsid w:val="59655988"/>
    <w:rsid w:val="59684890"/>
    <w:rsid w:val="59697F7F"/>
    <w:rsid w:val="596E118F"/>
    <w:rsid w:val="596E7DCD"/>
    <w:rsid w:val="59774E64"/>
    <w:rsid w:val="598B7364"/>
    <w:rsid w:val="59965C38"/>
    <w:rsid w:val="59976E38"/>
    <w:rsid w:val="59B20AEF"/>
    <w:rsid w:val="59DD66C9"/>
    <w:rsid w:val="5A0C602E"/>
    <w:rsid w:val="5A2F6381"/>
    <w:rsid w:val="5A3F75B7"/>
    <w:rsid w:val="5A533E6E"/>
    <w:rsid w:val="5A783688"/>
    <w:rsid w:val="5A7D1659"/>
    <w:rsid w:val="5A87301B"/>
    <w:rsid w:val="5AA14903"/>
    <w:rsid w:val="5AAF422B"/>
    <w:rsid w:val="5AB96265"/>
    <w:rsid w:val="5ABA5FA7"/>
    <w:rsid w:val="5AE36A45"/>
    <w:rsid w:val="5AEA5A59"/>
    <w:rsid w:val="5AEC3A03"/>
    <w:rsid w:val="5AFC1DC4"/>
    <w:rsid w:val="5B0A4D6B"/>
    <w:rsid w:val="5B213FD7"/>
    <w:rsid w:val="5B3845B5"/>
    <w:rsid w:val="5B404226"/>
    <w:rsid w:val="5B461D02"/>
    <w:rsid w:val="5B83316C"/>
    <w:rsid w:val="5B883192"/>
    <w:rsid w:val="5B9D177F"/>
    <w:rsid w:val="5BD041FC"/>
    <w:rsid w:val="5C0D3694"/>
    <w:rsid w:val="5C160720"/>
    <w:rsid w:val="5C1A53A0"/>
    <w:rsid w:val="5C2E1BF1"/>
    <w:rsid w:val="5C490888"/>
    <w:rsid w:val="5C4908EE"/>
    <w:rsid w:val="5C94548A"/>
    <w:rsid w:val="5CB976E2"/>
    <w:rsid w:val="5CC46F61"/>
    <w:rsid w:val="5CC6536A"/>
    <w:rsid w:val="5CD379DE"/>
    <w:rsid w:val="5CF16D0E"/>
    <w:rsid w:val="5CF354EF"/>
    <w:rsid w:val="5D0A3484"/>
    <w:rsid w:val="5D420476"/>
    <w:rsid w:val="5D435DDE"/>
    <w:rsid w:val="5D576DF8"/>
    <w:rsid w:val="5D7330FB"/>
    <w:rsid w:val="5D7A01D9"/>
    <w:rsid w:val="5DA93AA7"/>
    <w:rsid w:val="5DAD499B"/>
    <w:rsid w:val="5DAD4E0E"/>
    <w:rsid w:val="5DB365C1"/>
    <w:rsid w:val="5DE34453"/>
    <w:rsid w:val="5DF62319"/>
    <w:rsid w:val="5E062D59"/>
    <w:rsid w:val="5E0E0ACA"/>
    <w:rsid w:val="5E103A5F"/>
    <w:rsid w:val="5E340DC5"/>
    <w:rsid w:val="5E4A5062"/>
    <w:rsid w:val="5E745C31"/>
    <w:rsid w:val="5E873F8E"/>
    <w:rsid w:val="5E8E529D"/>
    <w:rsid w:val="5EA07474"/>
    <w:rsid w:val="5ED9079A"/>
    <w:rsid w:val="5EDF46E2"/>
    <w:rsid w:val="5EE01589"/>
    <w:rsid w:val="5EE61AC4"/>
    <w:rsid w:val="5EE77804"/>
    <w:rsid w:val="5F072160"/>
    <w:rsid w:val="5F0A3FC3"/>
    <w:rsid w:val="5F785320"/>
    <w:rsid w:val="5F7B04C5"/>
    <w:rsid w:val="5F9B3576"/>
    <w:rsid w:val="5F9E57C7"/>
    <w:rsid w:val="5FA15868"/>
    <w:rsid w:val="5FAA7382"/>
    <w:rsid w:val="5FB0245B"/>
    <w:rsid w:val="5FCA3247"/>
    <w:rsid w:val="5FD611CA"/>
    <w:rsid w:val="5FE53CE4"/>
    <w:rsid w:val="5FEB3065"/>
    <w:rsid w:val="5FEE12CA"/>
    <w:rsid w:val="5FFD165D"/>
    <w:rsid w:val="6007279C"/>
    <w:rsid w:val="600A739C"/>
    <w:rsid w:val="601C7E9F"/>
    <w:rsid w:val="601D491B"/>
    <w:rsid w:val="602E7691"/>
    <w:rsid w:val="60315176"/>
    <w:rsid w:val="6034143A"/>
    <w:rsid w:val="605370DB"/>
    <w:rsid w:val="606232AE"/>
    <w:rsid w:val="608720A8"/>
    <w:rsid w:val="60B744D2"/>
    <w:rsid w:val="60BC35F2"/>
    <w:rsid w:val="60BE5593"/>
    <w:rsid w:val="60CC7456"/>
    <w:rsid w:val="60D36E5F"/>
    <w:rsid w:val="60DB1656"/>
    <w:rsid w:val="60DD5762"/>
    <w:rsid w:val="60E313FF"/>
    <w:rsid w:val="60F246CF"/>
    <w:rsid w:val="61245419"/>
    <w:rsid w:val="61324074"/>
    <w:rsid w:val="614B0557"/>
    <w:rsid w:val="614D1FA0"/>
    <w:rsid w:val="616711E7"/>
    <w:rsid w:val="61695D30"/>
    <w:rsid w:val="61803A85"/>
    <w:rsid w:val="61884648"/>
    <w:rsid w:val="619E6B2C"/>
    <w:rsid w:val="61A83D96"/>
    <w:rsid w:val="61B431E2"/>
    <w:rsid w:val="61B57AC0"/>
    <w:rsid w:val="61CC0BC1"/>
    <w:rsid w:val="61D2220B"/>
    <w:rsid w:val="61DB432F"/>
    <w:rsid w:val="61FA1F75"/>
    <w:rsid w:val="620420A4"/>
    <w:rsid w:val="6253121F"/>
    <w:rsid w:val="626418E7"/>
    <w:rsid w:val="626C0CDB"/>
    <w:rsid w:val="62715763"/>
    <w:rsid w:val="629E54C5"/>
    <w:rsid w:val="62E72287"/>
    <w:rsid w:val="62E977D4"/>
    <w:rsid w:val="62F31EF2"/>
    <w:rsid w:val="62FE7D7D"/>
    <w:rsid w:val="63417AE0"/>
    <w:rsid w:val="634C7FA7"/>
    <w:rsid w:val="635414A1"/>
    <w:rsid w:val="6373462E"/>
    <w:rsid w:val="63746519"/>
    <w:rsid w:val="637F5A87"/>
    <w:rsid w:val="63B2141C"/>
    <w:rsid w:val="63B856E2"/>
    <w:rsid w:val="63C97932"/>
    <w:rsid w:val="63D71C0A"/>
    <w:rsid w:val="63D970DD"/>
    <w:rsid w:val="63F869ED"/>
    <w:rsid w:val="63FA0E62"/>
    <w:rsid w:val="63FA10AA"/>
    <w:rsid w:val="645C0A46"/>
    <w:rsid w:val="645F718C"/>
    <w:rsid w:val="64645D19"/>
    <w:rsid w:val="64A55079"/>
    <w:rsid w:val="64A95DBC"/>
    <w:rsid w:val="64B91548"/>
    <w:rsid w:val="64DD3390"/>
    <w:rsid w:val="64F663D3"/>
    <w:rsid w:val="650E1733"/>
    <w:rsid w:val="6519569F"/>
    <w:rsid w:val="654A35FF"/>
    <w:rsid w:val="65960258"/>
    <w:rsid w:val="65960F34"/>
    <w:rsid w:val="65A577AF"/>
    <w:rsid w:val="65A801B0"/>
    <w:rsid w:val="65F31915"/>
    <w:rsid w:val="65F40FE3"/>
    <w:rsid w:val="65FB5C19"/>
    <w:rsid w:val="6611705C"/>
    <w:rsid w:val="66174109"/>
    <w:rsid w:val="662A5935"/>
    <w:rsid w:val="662C5FF3"/>
    <w:rsid w:val="665248C0"/>
    <w:rsid w:val="66743D60"/>
    <w:rsid w:val="66806A8D"/>
    <w:rsid w:val="668E3147"/>
    <w:rsid w:val="669907B9"/>
    <w:rsid w:val="66A973F7"/>
    <w:rsid w:val="66B52D0D"/>
    <w:rsid w:val="66BC0D67"/>
    <w:rsid w:val="66C65905"/>
    <w:rsid w:val="66CD7AB4"/>
    <w:rsid w:val="66D04A67"/>
    <w:rsid w:val="66D165FA"/>
    <w:rsid w:val="66D5242C"/>
    <w:rsid w:val="66DB190F"/>
    <w:rsid w:val="67504B27"/>
    <w:rsid w:val="676058BE"/>
    <w:rsid w:val="677539A5"/>
    <w:rsid w:val="677D3ED9"/>
    <w:rsid w:val="6796188D"/>
    <w:rsid w:val="67A10081"/>
    <w:rsid w:val="67AD0174"/>
    <w:rsid w:val="680038F4"/>
    <w:rsid w:val="681E0BBB"/>
    <w:rsid w:val="68383D03"/>
    <w:rsid w:val="684B717F"/>
    <w:rsid w:val="68894743"/>
    <w:rsid w:val="688C6CFC"/>
    <w:rsid w:val="68966D4C"/>
    <w:rsid w:val="68A405D7"/>
    <w:rsid w:val="68BE7F21"/>
    <w:rsid w:val="68C606EB"/>
    <w:rsid w:val="68CE3899"/>
    <w:rsid w:val="68D07B85"/>
    <w:rsid w:val="68EC771B"/>
    <w:rsid w:val="68F30B42"/>
    <w:rsid w:val="68F90E27"/>
    <w:rsid w:val="69082F4C"/>
    <w:rsid w:val="690A594E"/>
    <w:rsid w:val="690E3463"/>
    <w:rsid w:val="691F67DF"/>
    <w:rsid w:val="6959710E"/>
    <w:rsid w:val="695A74FB"/>
    <w:rsid w:val="695B359C"/>
    <w:rsid w:val="698840FC"/>
    <w:rsid w:val="69974E09"/>
    <w:rsid w:val="69A013A1"/>
    <w:rsid w:val="69B071F3"/>
    <w:rsid w:val="69B21BAC"/>
    <w:rsid w:val="69E42E85"/>
    <w:rsid w:val="69E718CB"/>
    <w:rsid w:val="69E94CBD"/>
    <w:rsid w:val="69FF2362"/>
    <w:rsid w:val="6A1C3809"/>
    <w:rsid w:val="6A1E5D19"/>
    <w:rsid w:val="6A206E29"/>
    <w:rsid w:val="6A2C3644"/>
    <w:rsid w:val="6A30605D"/>
    <w:rsid w:val="6A382C4C"/>
    <w:rsid w:val="6A3864B2"/>
    <w:rsid w:val="6A6809E4"/>
    <w:rsid w:val="6A703458"/>
    <w:rsid w:val="6A7F664D"/>
    <w:rsid w:val="6A906E5D"/>
    <w:rsid w:val="6A9C0962"/>
    <w:rsid w:val="6ADB2952"/>
    <w:rsid w:val="6B1C3BBC"/>
    <w:rsid w:val="6B563C8B"/>
    <w:rsid w:val="6B5B1761"/>
    <w:rsid w:val="6B64206B"/>
    <w:rsid w:val="6B8A2C40"/>
    <w:rsid w:val="6B9C464B"/>
    <w:rsid w:val="6BA17875"/>
    <w:rsid w:val="6BBE52E8"/>
    <w:rsid w:val="6C1134DA"/>
    <w:rsid w:val="6C183A7C"/>
    <w:rsid w:val="6C1914AF"/>
    <w:rsid w:val="6C3449D3"/>
    <w:rsid w:val="6C35541B"/>
    <w:rsid w:val="6C453B6D"/>
    <w:rsid w:val="6C501B6B"/>
    <w:rsid w:val="6C52286B"/>
    <w:rsid w:val="6C665E08"/>
    <w:rsid w:val="6C69231E"/>
    <w:rsid w:val="6C7760CF"/>
    <w:rsid w:val="6CA646F5"/>
    <w:rsid w:val="6CCF4723"/>
    <w:rsid w:val="6CD6181E"/>
    <w:rsid w:val="6CD61F9E"/>
    <w:rsid w:val="6CDA31F8"/>
    <w:rsid w:val="6CE70269"/>
    <w:rsid w:val="6CF84A93"/>
    <w:rsid w:val="6CFD7C5F"/>
    <w:rsid w:val="6D1A2D4A"/>
    <w:rsid w:val="6D721E2F"/>
    <w:rsid w:val="6D8E587F"/>
    <w:rsid w:val="6D983B8A"/>
    <w:rsid w:val="6DA635DC"/>
    <w:rsid w:val="6DAF2107"/>
    <w:rsid w:val="6DB839D8"/>
    <w:rsid w:val="6DD6204B"/>
    <w:rsid w:val="6DE35860"/>
    <w:rsid w:val="6DF161D6"/>
    <w:rsid w:val="6DFE0697"/>
    <w:rsid w:val="6E0813E2"/>
    <w:rsid w:val="6E1B14B6"/>
    <w:rsid w:val="6E2E225F"/>
    <w:rsid w:val="6E366B8D"/>
    <w:rsid w:val="6E44450F"/>
    <w:rsid w:val="6EB170E1"/>
    <w:rsid w:val="6ECE3EE4"/>
    <w:rsid w:val="6EEA46FD"/>
    <w:rsid w:val="6F00057F"/>
    <w:rsid w:val="6F1F5121"/>
    <w:rsid w:val="6F2224B8"/>
    <w:rsid w:val="6F314061"/>
    <w:rsid w:val="6F786F89"/>
    <w:rsid w:val="6F7B5BCF"/>
    <w:rsid w:val="6F8F5CF2"/>
    <w:rsid w:val="6F9853E2"/>
    <w:rsid w:val="6FAA1403"/>
    <w:rsid w:val="6FB22C84"/>
    <w:rsid w:val="6FB73D98"/>
    <w:rsid w:val="6FC12FF2"/>
    <w:rsid w:val="6FCF3900"/>
    <w:rsid w:val="6FE84D80"/>
    <w:rsid w:val="70030492"/>
    <w:rsid w:val="700609BC"/>
    <w:rsid w:val="70077667"/>
    <w:rsid w:val="700F04E7"/>
    <w:rsid w:val="70111102"/>
    <w:rsid w:val="703C2604"/>
    <w:rsid w:val="705557E2"/>
    <w:rsid w:val="705E7788"/>
    <w:rsid w:val="70757EA5"/>
    <w:rsid w:val="70794E17"/>
    <w:rsid w:val="70BC1155"/>
    <w:rsid w:val="70C7387E"/>
    <w:rsid w:val="70CB21E8"/>
    <w:rsid w:val="70FF2F8F"/>
    <w:rsid w:val="71023581"/>
    <w:rsid w:val="710A2232"/>
    <w:rsid w:val="71357785"/>
    <w:rsid w:val="713F5623"/>
    <w:rsid w:val="71424EE9"/>
    <w:rsid w:val="714A2B7D"/>
    <w:rsid w:val="716817FE"/>
    <w:rsid w:val="716959E5"/>
    <w:rsid w:val="71811D84"/>
    <w:rsid w:val="71887D1B"/>
    <w:rsid w:val="71986246"/>
    <w:rsid w:val="71A70DE4"/>
    <w:rsid w:val="71AB5694"/>
    <w:rsid w:val="71AF3A29"/>
    <w:rsid w:val="71C273E2"/>
    <w:rsid w:val="71D90B59"/>
    <w:rsid w:val="7211245D"/>
    <w:rsid w:val="721A6873"/>
    <w:rsid w:val="722C0750"/>
    <w:rsid w:val="725F67CF"/>
    <w:rsid w:val="726036CA"/>
    <w:rsid w:val="72727F0F"/>
    <w:rsid w:val="7276213A"/>
    <w:rsid w:val="72C752BC"/>
    <w:rsid w:val="72D65D24"/>
    <w:rsid w:val="72DE5EE2"/>
    <w:rsid w:val="7302342D"/>
    <w:rsid w:val="7309748A"/>
    <w:rsid w:val="73322922"/>
    <w:rsid w:val="73571292"/>
    <w:rsid w:val="735A3672"/>
    <w:rsid w:val="73654448"/>
    <w:rsid w:val="737D3A01"/>
    <w:rsid w:val="739C06B8"/>
    <w:rsid w:val="73A64B37"/>
    <w:rsid w:val="73C12E76"/>
    <w:rsid w:val="73D102DC"/>
    <w:rsid w:val="74292673"/>
    <w:rsid w:val="742E08F9"/>
    <w:rsid w:val="743A2140"/>
    <w:rsid w:val="743F6E4D"/>
    <w:rsid w:val="74420FA9"/>
    <w:rsid w:val="7442522C"/>
    <w:rsid w:val="744467B5"/>
    <w:rsid w:val="744530CF"/>
    <w:rsid w:val="74AE739F"/>
    <w:rsid w:val="74B66881"/>
    <w:rsid w:val="74DB2443"/>
    <w:rsid w:val="74E0465F"/>
    <w:rsid w:val="74E93513"/>
    <w:rsid w:val="74E975A9"/>
    <w:rsid w:val="74F457F1"/>
    <w:rsid w:val="74FC0219"/>
    <w:rsid w:val="751D6976"/>
    <w:rsid w:val="75687D2E"/>
    <w:rsid w:val="75F10B8C"/>
    <w:rsid w:val="75F246FE"/>
    <w:rsid w:val="75FA7548"/>
    <w:rsid w:val="7601178E"/>
    <w:rsid w:val="76085F8A"/>
    <w:rsid w:val="76300F11"/>
    <w:rsid w:val="76300F6C"/>
    <w:rsid w:val="763A03EE"/>
    <w:rsid w:val="765408FA"/>
    <w:rsid w:val="767C58DD"/>
    <w:rsid w:val="76863789"/>
    <w:rsid w:val="768F0540"/>
    <w:rsid w:val="76C83E31"/>
    <w:rsid w:val="76EF6D79"/>
    <w:rsid w:val="76FD47B7"/>
    <w:rsid w:val="770E7E2D"/>
    <w:rsid w:val="77157FF0"/>
    <w:rsid w:val="77444A87"/>
    <w:rsid w:val="775D3624"/>
    <w:rsid w:val="777240B8"/>
    <w:rsid w:val="77747C82"/>
    <w:rsid w:val="77A66DF9"/>
    <w:rsid w:val="77AA3EE4"/>
    <w:rsid w:val="77AA4C22"/>
    <w:rsid w:val="77AE4B5D"/>
    <w:rsid w:val="77B676A8"/>
    <w:rsid w:val="77B84256"/>
    <w:rsid w:val="77C34B64"/>
    <w:rsid w:val="77C60C6B"/>
    <w:rsid w:val="77DE2925"/>
    <w:rsid w:val="77E22AD0"/>
    <w:rsid w:val="77E74011"/>
    <w:rsid w:val="78097E81"/>
    <w:rsid w:val="781654CC"/>
    <w:rsid w:val="781F6D4F"/>
    <w:rsid w:val="78366980"/>
    <w:rsid w:val="7880315A"/>
    <w:rsid w:val="788D0357"/>
    <w:rsid w:val="78A60180"/>
    <w:rsid w:val="78A91105"/>
    <w:rsid w:val="78B77D1E"/>
    <w:rsid w:val="78EA1A6A"/>
    <w:rsid w:val="79160434"/>
    <w:rsid w:val="791610F3"/>
    <w:rsid w:val="791A673D"/>
    <w:rsid w:val="792120BD"/>
    <w:rsid w:val="79547C4B"/>
    <w:rsid w:val="795A736F"/>
    <w:rsid w:val="795B0222"/>
    <w:rsid w:val="796067E4"/>
    <w:rsid w:val="79884BF1"/>
    <w:rsid w:val="79C82F2B"/>
    <w:rsid w:val="79E276F7"/>
    <w:rsid w:val="79E47B0F"/>
    <w:rsid w:val="79EB6C5C"/>
    <w:rsid w:val="7A017C01"/>
    <w:rsid w:val="7A0C2C34"/>
    <w:rsid w:val="7A232701"/>
    <w:rsid w:val="7A2F3AA6"/>
    <w:rsid w:val="7A371D81"/>
    <w:rsid w:val="7A455C46"/>
    <w:rsid w:val="7A4C1E6C"/>
    <w:rsid w:val="7A4C1FAE"/>
    <w:rsid w:val="7A6B1BB8"/>
    <w:rsid w:val="7AA404CF"/>
    <w:rsid w:val="7AA575DA"/>
    <w:rsid w:val="7AAD6F2B"/>
    <w:rsid w:val="7AC944D7"/>
    <w:rsid w:val="7B0E7FA9"/>
    <w:rsid w:val="7B22213E"/>
    <w:rsid w:val="7B2C5214"/>
    <w:rsid w:val="7B336027"/>
    <w:rsid w:val="7B366CA3"/>
    <w:rsid w:val="7B5305D1"/>
    <w:rsid w:val="7B6B1366"/>
    <w:rsid w:val="7B974C50"/>
    <w:rsid w:val="7BB9718A"/>
    <w:rsid w:val="7BBA65C0"/>
    <w:rsid w:val="7BCA1097"/>
    <w:rsid w:val="7BD37033"/>
    <w:rsid w:val="7BF833EB"/>
    <w:rsid w:val="7C0B4A22"/>
    <w:rsid w:val="7C0C2C5D"/>
    <w:rsid w:val="7C280AA5"/>
    <w:rsid w:val="7C520C06"/>
    <w:rsid w:val="7C52734B"/>
    <w:rsid w:val="7C550188"/>
    <w:rsid w:val="7C683163"/>
    <w:rsid w:val="7C741490"/>
    <w:rsid w:val="7C7E7928"/>
    <w:rsid w:val="7C87593B"/>
    <w:rsid w:val="7CB16CB5"/>
    <w:rsid w:val="7CB71A8B"/>
    <w:rsid w:val="7CE644D9"/>
    <w:rsid w:val="7CEB24EC"/>
    <w:rsid w:val="7CF83E93"/>
    <w:rsid w:val="7D1165BD"/>
    <w:rsid w:val="7D21599B"/>
    <w:rsid w:val="7D2276B8"/>
    <w:rsid w:val="7D2D6164"/>
    <w:rsid w:val="7D337F81"/>
    <w:rsid w:val="7D3C2D14"/>
    <w:rsid w:val="7D5B0C01"/>
    <w:rsid w:val="7D706817"/>
    <w:rsid w:val="7D85290B"/>
    <w:rsid w:val="7D877403"/>
    <w:rsid w:val="7DAF433E"/>
    <w:rsid w:val="7DCC658A"/>
    <w:rsid w:val="7DD06774"/>
    <w:rsid w:val="7DD46268"/>
    <w:rsid w:val="7DE16142"/>
    <w:rsid w:val="7DE3517D"/>
    <w:rsid w:val="7DEC598E"/>
    <w:rsid w:val="7DEE3C6B"/>
    <w:rsid w:val="7E0C7BF2"/>
    <w:rsid w:val="7E154120"/>
    <w:rsid w:val="7E1A7A97"/>
    <w:rsid w:val="7E2B3E90"/>
    <w:rsid w:val="7E4A5075"/>
    <w:rsid w:val="7E4D289E"/>
    <w:rsid w:val="7E4F1946"/>
    <w:rsid w:val="7E536F9D"/>
    <w:rsid w:val="7E5C66CC"/>
    <w:rsid w:val="7E7030CE"/>
    <w:rsid w:val="7E731644"/>
    <w:rsid w:val="7E73272D"/>
    <w:rsid w:val="7E8D616D"/>
    <w:rsid w:val="7EC43C0D"/>
    <w:rsid w:val="7EC4706F"/>
    <w:rsid w:val="7EF0023B"/>
    <w:rsid w:val="7F1A029F"/>
    <w:rsid w:val="7F2F02AF"/>
    <w:rsid w:val="7F2F4CE6"/>
    <w:rsid w:val="7F3725B9"/>
    <w:rsid w:val="7F6A1361"/>
    <w:rsid w:val="7F7067C6"/>
    <w:rsid w:val="7F7554C3"/>
    <w:rsid w:val="7F7D39DE"/>
    <w:rsid w:val="7F914720"/>
    <w:rsid w:val="7FB439CA"/>
    <w:rsid w:val="7FB5065D"/>
    <w:rsid w:val="7FD84A57"/>
    <w:rsid w:val="7FE84344"/>
    <w:rsid w:val="7FF90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atLeast"/>
      <w:ind w:firstLine="200" w:firstLineChars="200"/>
      <w:jc w:val="both"/>
    </w:pPr>
    <w:rPr>
      <w:rFonts w:ascii="宋体" w:hAnsi="宋体" w:eastAsia="宋体" w:cs="Times New Roman"/>
      <w:kern w:val="2"/>
      <w:sz w:val="24"/>
      <w:lang w:val="en-US" w:eastAsia="zh-CN" w:bidi="ar-SA"/>
    </w:rPr>
  </w:style>
  <w:style w:type="paragraph" w:styleId="2">
    <w:name w:val="heading 1"/>
    <w:next w:val="1"/>
    <w:qFormat/>
    <w:uiPriority w:val="0"/>
    <w:pPr>
      <w:keepNext/>
      <w:keepLines/>
      <w:numPr>
        <w:ilvl w:val="0"/>
        <w:numId w:val="1"/>
      </w:numPr>
      <w:spacing w:line="480" w:lineRule="auto"/>
      <w:ind w:left="432" w:hanging="432"/>
      <w:jc w:val="both"/>
      <w:outlineLvl w:val="0"/>
    </w:pPr>
    <w:rPr>
      <w:rFonts w:ascii="仿宋_GB2312" w:hAnsi="仿宋_GB2312" w:eastAsia="宋体" w:cs="Times New Roman"/>
      <w:b/>
      <w:kern w:val="44"/>
      <w:sz w:val="32"/>
      <w:lang w:val="en-US" w:eastAsia="zh-CN" w:bidi="ar-SA"/>
    </w:rPr>
  </w:style>
  <w:style w:type="paragraph" w:styleId="3">
    <w:name w:val="heading 2"/>
    <w:basedOn w:val="1"/>
    <w:next w:val="1"/>
    <w:qFormat/>
    <w:uiPriority w:val="0"/>
    <w:pPr>
      <w:keepNext/>
      <w:keepLines/>
      <w:numPr>
        <w:ilvl w:val="1"/>
        <w:numId w:val="1"/>
      </w:numPr>
      <w:tabs>
        <w:tab w:val="left" w:pos="420"/>
      </w:tabs>
      <w:spacing w:line="416" w:lineRule="auto"/>
      <w:ind w:left="575" w:hanging="575" w:firstLineChars="0"/>
      <w:outlineLvl w:val="1"/>
    </w:pPr>
    <w:rPr>
      <w:rFonts w:eastAsia="宋体"/>
      <w:b/>
      <w:sz w:val="30"/>
    </w:rPr>
  </w:style>
  <w:style w:type="paragraph" w:styleId="4">
    <w:name w:val="heading 3"/>
    <w:basedOn w:val="1"/>
    <w:next w:val="1"/>
    <w:link w:val="24"/>
    <w:qFormat/>
    <w:uiPriority w:val="0"/>
    <w:pPr>
      <w:keepNext/>
      <w:keepLines/>
      <w:numPr>
        <w:ilvl w:val="2"/>
        <w:numId w:val="1"/>
      </w:numPr>
      <w:spacing w:line="360" w:lineRule="auto"/>
      <w:ind w:left="720" w:hanging="720" w:firstLineChars="0"/>
      <w:outlineLvl w:val="2"/>
    </w:pPr>
    <w:rPr>
      <w:b/>
      <w:sz w:val="28"/>
    </w:rPr>
  </w:style>
  <w:style w:type="paragraph" w:styleId="5">
    <w:name w:val="heading 4"/>
    <w:basedOn w:val="1"/>
    <w:next w:val="1"/>
    <w:unhideWhenUsed/>
    <w:qFormat/>
    <w:uiPriority w:val="9"/>
    <w:pPr>
      <w:keepNext/>
      <w:keepLines/>
      <w:numPr>
        <w:ilvl w:val="3"/>
        <w:numId w:val="1"/>
      </w:numPr>
      <w:spacing w:line="360" w:lineRule="auto"/>
      <w:ind w:left="864" w:hanging="864" w:firstLineChars="0"/>
      <w:outlineLvl w:val="3"/>
    </w:pPr>
    <w:rPr>
      <w:rFonts w:eastAsia="宋体"/>
      <w:b/>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unhideWhenUsed/>
    <w:qFormat/>
    <w:uiPriority w:val="99"/>
    <w:pPr>
      <w:spacing w:after="120"/>
    </w:pPr>
    <w:rPr>
      <w:rFonts w:ascii="Calibri" w:hAnsi="Calibri"/>
      <w:szCs w:val="20"/>
    </w:rPr>
  </w:style>
  <w:style w:type="paragraph" w:styleId="13">
    <w:name w:val="Body Text Indent"/>
    <w:basedOn w:val="1"/>
    <w:unhideWhenUsed/>
    <w:qFormat/>
    <w:uiPriority w:val="99"/>
    <w:pPr>
      <w:spacing w:after="120"/>
      <w:ind w:left="420" w:leftChars="200"/>
    </w:pPr>
  </w:style>
  <w:style w:type="paragraph" w:styleId="14">
    <w:name w:val="List 2"/>
    <w:basedOn w:val="1"/>
    <w:unhideWhenUsed/>
    <w:qFormat/>
    <w:uiPriority w:val="99"/>
    <w:pPr>
      <w:ind w:left="100" w:leftChars="200" w:hanging="200" w:hangingChars="200"/>
    </w:pPr>
    <w:rPr>
      <w:szCs w:val="20"/>
    </w:rPr>
  </w:style>
  <w:style w:type="paragraph" w:styleId="15">
    <w:name w:val="Plain Text"/>
    <w:basedOn w:val="1"/>
    <w:qFormat/>
    <w:uiPriority w:val="0"/>
    <w:rPr>
      <w:rFonts w:ascii="宋体" w:hAnsi="Courier New"/>
      <w:szCs w:val="20"/>
    </w:rPr>
  </w:style>
  <w:style w:type="paragraph" w:styleId="16">
    <w:name w:val="footer"/>
    <w:basedOn w:val="1"/>
    <w:link w:val="26"/>
    <w:qFormat/>
    <w:uiPriority w:val="99"/>
    <w:pPr>
      <w:tabs>
        <w:tab w:val="center" w:pos="4153"/>
        <w:tab w:val="right" w:pos="8306"/>
      </w:tabs>
      <w:snapToGrid w:val="0"/>
      <w:jc w:val="left"/>
    </w:pPr>
    <w:rPr>
      <w:sz w:val="18"/>
      <w:szCs w:val="18"/>
      <w:lang w:val="zh-CN"/>
    </w:rPr>
  </w:style>
  <w:style w:type="paragraph" w:styleId="17">
    <w:name w:val="header"/>
    <w:basedOn w:val="1"/>
    <w:qFormat/>
    <w:uiPriority w:val="0"/>
    <w:pPr>
      <w:pBdr>
        <w:bottom w:val="single" w:color="auto" w:sz="6" w:space="1"/>
      </w:pBdr>
      <w:tabs>
        <w:tab w:val="center" w:pos="4153"/>
        <w:tab w:val="right" w:pos="8306"/>
      </w:tabs>
      <w:snapToGrid w:val="0"/>
      <w:ind w:firstLine="0" w:firstLineChars="0"/>
    </w:pPr>
    <w:rPr>
      <w:rFonts w:ascii="Times New Roman" w:hAnsi="Times New Roman" w:eastAsia="宋体"/>
      <w:sz w:val="21"/>
      <w:szCs w:val="18"/>
    </w:rPr>
  </w:style>
  <w:style w:type="paragraph" w:styleId="18">
    <w:name w:val="annotation subject"/>
    <w:next w:val="11"/>
    <w:link w:val="27"/>
    <w:semiHidden/>
    <w:unhideWhenUsed/>
    <w:qFormat/>
    <w:uiPriority w:val="99"/>
    <w:rPr>
      <w:rFonts w:ascii="Times New Roman" w:hAnsi="Times New Roman" w:eastAsia="宋体" w:cs="Times New Roman"/>
      <w:b/>
      <w:bCs/>
      <w:lang w:val="en-US" w:eastAsia="zh-CN" w:bidi="ar-SA"/>
    </w:rPr>
  </w:style>
  <w:style w:type="paragraph" w:styleId="19">
    <w:name w:val="Body Text First Indent 2"/>
    <w:basedOn w:val="13"/>
    <w:unhideWhenUsed/>
    <w:qFormat/>
    <w:uiPriority w:val="99"/>
    <w:pPr>
      <w:tabs>
        <w:tab w:val="left" w:pos="960"/>
      </w:tabs>
      <w:ind w:firstLine="420"/>
    </w:p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customStyle="1" w:styleId="24">
    <w:name w:val="标题 3 字符"/>
    <w:link w:val="4"/>
    <w:qFormat/>
    <w:uiPriority w:val="0"/>
    <w:rPr>
      <w:rFonts w:eastAsia="仿宋_GB2312"/>
      <w:b/>
      <w:sz w:val="28"/>
    </w:rPr>
  </w:style>
  <w:style w:type="paragraph" w:customStyle="1" w:styleId="25">
    <w:name w:val="表格"/>
    <w:qFormat/>
    <w:uiPriority w:val="0"/>
    <w:pPr>
      <w:widowControl w:val="0"/>
      <w:jc w:val="center"/>
    </w:pPr>
    <w:rPr>
      <w:rFonts w:ascii="宋体" w:hAnsi="宋体" w:eastAsia="仿宋_GB2312" w:cs="Times New Roman"/>
      <w:sz w:val="21"/>
      <w:szCs w:val="24"/>
      <w:lang w:val="en-US" w:eastAsia="zh-CN" w:bidi="ar-SA"/>
    </w:rPr>
  </w:style>
  <w:style w:type="character" w:customStyle="1" w:styleId="26">
    <w:name w:val="页脚 字符"/>
    <w:link w:val="16"/>
    <w:qFormat/>
    <w:uiPriority w:val="99"/>
    <w:rPr>
      <w:kern w:val="2"/>
      <w:sz w:val="18"/>
      <w:szCs w:val="18"/>
    </w:rPr>
  </w:style>
  <w:style w:type="character" w:customStyle="1" w:styleId="27">
    <w:name w:val="批注主题 字符"/>
    <w:link w:val="18"/>
    <w:semiHidden/>
    <w:qFormat/>
    <w:uiPriority w:val="99"/>
    <w:rPr>
      <w:rFonts w:eastAsia="宋体"/>
      <w:b/>
      <w:bCs/>
      <w:kern w:val="2"/>
      <w:sz w:val="24"/>
    </w:rPr>
  </w:style>
  <w:style w:type="paragraph" w:customStyle="1" w:styleId="28">
    <w:name w:val="修订1"/>
    <w:hidden/>
    <w:semiHidden/>
    <w:qFormat/>
    <w:uiPriority w:val="99"/>
    <w:rPr>
      <w:rFonts w:ascii="仿宋_GB2312" w:hAnsi="仿宋_GB2312" w:eastAsia="仿宋_GB2312" w:cs="Times New Roman"/>
      <w:kern w:val="2"/>
      <w:sz w:val="24"/>
      <w:lang w:val="en-US" w:eastAsia="zh-CN" w:bidi="ar-SA"/>
    </w:rPr>
  </w:style>
  <w:style w:type="character" w:styleId="29">
    <w:name w:val="Placeholder Text"/>
    <w:basedOn w:val="22"/>
    <w:semiHidden/>
    <w:qFormat/>
    <w:uiPriority w:val="99"/>
    <w:rPr>
      <w:color w:val="808080"/>
    </w:rPr>
  </w:style>
  <w:style w:type="paragraph" w:customStyle="1" w:styleId="30">
    <w:name w:val="表文"/>
    <w:basedOn w:val="1"/>
    <w:qFormat/>
    <w:uiPriority w:val="0"/>
    <w:pPr>
      <w:spacing w:line="240" w:lineRule="auto"/>
      <w:ind w:firstLine="0" w:firstLineChars="0"/>
      <w:jc w:val="center"/>
    </w:pPr>
  </w:style>
  <w:style w:type="table" w:customStyle="1" w:styleId="31">
    <w:name w:val="样式2"/>
    <w:basedOn w:val="20"/>
    <w:qFormat/>
    <w:uiPriority w:val="99"/>
    <w:pPr>
      <w:jc w:val="center"/>
    </w:pPr>
    <w:rPr>
      <w:sz w:val="24"/>
    </w:rPr>
    <w:tblPr>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
    <w:trPr>
      <w:jc w:val="center"/>
    </w:trPr>
    <w:tcPr>
      <w:vAlign w:val="center"/>
    </w:tcPr>
  </w:style>
  <w:style w:type="paragraph" w:customStyle="1" w:styleId="32">
    <w:name w:val="正文521"/>
    <w:basedOn w:val="1"/>
    <w:qFormat/>
    <w:uiPriority w:val="0"/>
    <w:pPr>
      <w:ind w:firstLine="480"/>
    </w:pPr>
    <w:rPr>
      <w:rFonts w:hAnsi="宋体"/>
    </w:rPr>
  </w:style>
  <w:style w:type="character" w:customStyle="1" w:styleId="33">
    <w:name w:val="textcontents"/>
    <w:basedOn w:val="22"/>
    <w:qFormat/>
    <w:uiPriority w:val="0"/>
  </w:style>
  <w:style w:type="paragraph" w:customStyle="1" w:styleId="34">
    <w:name w:val="样式4"/>
    <w:basedOn w:val="1"/>
    <w:qFormat/>
    <w:uiPriority w:val="0"/>
    <w:pPr>
      <w:ind w:firstLine="480" w:firstLineChars="200"/>
    </w:pPr>
    <w:rPr>
      <w:rFonts w:eastAsia="华文中宋"/>
      <w:color w:val="000000"/>
      <w:kern w:val="0"/>
      <w:sz w:val="24"/>
    </w:rPr>
  </w:style>
  <w:style w:type="paragraph" w:customStyle="1" w:styleId="35">
    <w:name w:val="图表内容"/>
    <w:basedOn w:val="12"/>
    <w:qFormat/>
    <w:uiPriority w:val="0"/>
    <w:pPr>
      <w:adjustRightInd w:val="0"/>
      <w:snapToGrid w:val="0"/>
      <w:spacing w:line="240" w:lineRule="atLeast"/>
      <w:jc w:val="center"/>
    </w:pPr>
    <w:rPr>
      <w:rFonts w:ascii="Times New Roman"/>
      <w:bCs/>
      <w:color w:val="000000"/>
      <w:spacing w:val="-17"/>
      <w:kern w:val="21"/>
      <w:sz w:val="20"/>
      <w:szCs w:val="21"/>
    </w:rPr>
  </w:style>
  <w:style w:type="paragraph" w:customStyle="1" w:styleId="36">
    <w:name w:val="Table Paragraph"/>
    <w:basedOn w:val="1"/>
    <w:unhideWhenUsed/>
    <w:qFormat/>
    <w:uiPriority w:val="1"/>
    <w:pPr>
      <w:spacing w:beforeLines="0" w:afterLines="0"/>
    </w:pPr>
    <w:rPr>
      <w:rFonts w:hint="default"/>
      <w:sz w:val="24"/>
    </w:rPr>
  </w:style>
  <w:style w:type="paragraph" w:customStyle="1" w:styleId="37">
    <w:name w:val="样式 宋体 小四 首行缩进:  1 厘米 行距: 1.5 倍行距"/>
    <w:basedOn w:val="1"/>
    <w:qFormat/>
    <w:uiPriority w:val="0"/>
    <w:pPr>
      <w:spacing w:line="360" w:lineRule="auto"/>
      <w:ind w:firstLine="567"/>
    </w:pPr>
    <w:rPr>
      <w:rFonts w:ascii="宋体"/>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5826B-E759-4C9D-905F-33A0A48D00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9176</Words>
  <Characters>10233</Characters>
  <Lines>124</Lines>
  <Paragraphs>35</Paragraphs>
  <TotalTime>3</TotalTime>
  <ScaleCrop>false</ScaleCrop>
  <LinksUpToDate>false</LinksUpToDate>
  <CharactersWithSpaces>10285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2020-05-21T11:39:00Z</dcterms:created>
  <dc:creator>diy</dc:creator>
  <cp:lastModifiedBy>Administrator</cp:lastModifiedBy>
  <cp:lastPrinted>2020-12-16T11:15:00Z</cp:lastPrinted>
  <dcterms:modified xsi:type="dcterms:W3CDTF">2025-11-21T02:03:41Z</dcterms:modified>
  <dc:title>桥位地层简单，上覆地层为块石土、卵石土、局部为亚粘土、分布全桥，厚度不等</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2052-11.8.2.12055</vt:lpwstr>
  </property>
  <property fmtid="{D5CDD505-2E9C-101B-9397-08002B2CF9AE}" pid="4" name="AMWinEqns">
    <vt:bool>true</vt:bool>
  </property>
  <property fmtid="{D5CDD505-2E9C-101B-9397-08002B2CF9AE}" pid="5" name="ICV">
    <vt:lpwstr>5A2C1CFBA8AB43D7BA984DC5A2F16969</vt:lpwstr>
  </property>
</Properties>
</file>